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چهارشنبه 2/7/99                                                               جلسه 13</w:t>
      </w:r>
    </w:p>
    <w:p w:rsidR="00902AB8" w:rsidRDefault="00902AB8" w:rsidP="00902AB8">
      <w:pPr>
        <w:ind w:firstLine="386"/>
        <w:jc w:val="both"/>
        <w:rPr>
          <w:rFonts w:ascii="B Badr" w:hAnsi="B Badr" w:cs="B Badr" w:hint="cs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بحث از حکم چهارم مرتبط با اجتهاد دو جهت وجود دارد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بايد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بررسی شود :</w:t>
      </w:r>
    </w:p>
    <w:p w:rsidR="00B149A4" w:rsidRDefault="00B149A4" w:rsidP="00902AB8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جهت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اساسا در نفوذ قضاء اجتهاد معتبر است یا خیر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جهت دوم بنابر اعتبار اجتهاد در نفوذ قضاء خصوصیات معتبر چیست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جهت اول : با توجه به اینکه قاضی تقسیم به قاضی تحکیم و منصوب می شود بحث از اعتبار اجتهاد در نفوذ قضاء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درهر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دو قسم باید حساب شود .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پیش از بررسی جهت اول که اعتبار اجتهاد برای نفوذ قضاوت بود، باید ادله ای را که به عنوان مدرک قضاء در هر دو قسم قاضی تحکیم و قاضی منصوب می باشد ملاحظه کنیم و ببینیم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اعتبار اجتهاد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استفاده می شود یا خیر.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دلیلی که برای نفوذ قضاوت قاضی تحکیم به ان استناد شده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بود . در مقابل این روایت، دو روایت دیگر وجود دارد که عمده ادله در بحث قضاء محسوب می شوند و البته در کلمات عنوان شده است که این دو روایت، مربوط به قاضی منصوب است نه تحکیم . این دو روایت، روایت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</w:t>
      </w:r>
    </w:p>
    <w:p w:rsidR="00B149A4" w:rsidRPr="00F513E8" w:rsidRDefault="00B149A4" w:rsidP="00B149A4">
      <w:pPr>
        <w:pStyle w:val="a6"/>
        <w:numPr>
          <w:ilvl w:val="0"/>
          <w:numId w:val="1"/>
        </w:numPr>
        <w:jc w:val="both"/>
        <w:rPr>
          <w:rFonts w:ascii="B Badr" w:hAnsi="B Badr" w:cs="B Badr"/>
          <w:sz w:val="32"/>
          <w:szCs w:val="32"/>
          <w:rtl/>
        </w:rPr>
      </w:pP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مُحَمَّدُ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بْنُ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عَلِيِّ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الْحُسَيْنِ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بِإِسْنَادِهِ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أَحْمَدَ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عَائِذٍ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أَبِي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خَدِيجَةَ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سَالِمِ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مُكْرَمٍ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الْجَمَّالِ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قَالَ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: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قَالَ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أَبُو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عَبْدِ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اللَّهِ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جَعْفَرُ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بْنُ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مُحَمَّدٍ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الصَّادِقُ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علیه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إِيَّاكُمْ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أَنْ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يُحَاكِمَ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بَعْضُكُمْ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بَعْضاً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إِلَى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أَهْلِ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الْجَوْرِ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لَكِنِ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انْظُرُوا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إِلَى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رَجُلٍ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مِنْكُمْ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يَعْلَمُ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شَيْئاً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مِنْ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قَضَايَانَا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فَاجْعَلُوهُ</w:t>
      </w:r>
      <w:proofErr w:type="spellEnd"/>
      <w:r w:rsidRPr="00F513E8">
        <w:rPr>
          <w:rFonts w:ascii="B Badr" w:hAnsi="B Badr" w:cs="B Badr" w:hint="cs"/>
          <w:sz w:val="32"/>
          <w:szCs w:val="32"/>
        </w:rPr>
        <w:t>‌</w:t>
      </w:r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فَإِنِّي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قَدْ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جَعَلْتُهُ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قَاضِياً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فَتَحَاكَمُوا</w:t>
      </w:r>
      <w:proofErr w:type="spellEnd"/>
      <w:r w:rsidRPr="00F513E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513E8">
        <w:rPr>
          <w:rFonts w:ascii="B Badr" w:hAnsi="B Badr" w:cs="B Badr" w:hint="cs"/>
          <w:sz w:val="32"/>
          <w:szCs w:val="32"/>
          <w:rtl/>
        </w:rPr>
        <w:t>إِلَيْهِ</w:t>
      </w:r>
      <w:proofErr w:type="spellEnd"/>
      <w:r>
        <w:rPr>
          <w:rStyle w:val="a5"/>
          <w:rFonts w:ascii="B Badr" w:hAnsi="B Badr" w:cs="B Badr"/>
          <w:sz w:val="32"/>
          <w:szCs w:val="32"/>
          <w:rtl/>
        </w:rPr>
        <w:footnoteReference w:id="1"/>
      </w:r>
      <w:r w:rsidRPr="00F513E8">
        <w:rPr>
          <w:rFonts w:ascii="B Badr" w:hAnsi="B Badr" w:cs="B Badr" w:hint="cs"/>
          <w:sz w:val="32"/>
          <w:szCs w:val="32"/>
          <w:rtl/>
        </w:rPr>
        <w:t>.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تقریب استفاده قاضی منصوب از این روایت این است که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به قضاوت شخصی که قواعد قضاوت های ما را می داند، تن بدهید چون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علیکم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قاضیا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یعنی او به عنوان قاضی از طرف من نصب شده است .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این روایت از جهت سند و دلالت باید بررسی شود . 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بررسی سندی روایت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: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نسبت به نوع افراد واقع در سند اشکالی وجود ندارد . زیرا سند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صدوق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احمد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عائذ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مشتمل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اجلاء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اشکال در سالم بن مکرم جمال است و وجه اشکال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او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کرده اما مرحوم شیخ در فهرست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استبصار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او را تضعیف کرده است . مرحوم علامه هم نقل می کند که مرحوم شیخ در جایی دیگر او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کرده است . تضعیف شیخ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تعارض می کند. در نتیجه احراز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وثاقت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سالم بن مکرم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شود.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از این اشکال به چند وجه جواب داده شده است :</w:t>
      </w:r>
    </w:p>
    <w:p w:rsidR="00B149A4" w:rsidRDefault="00B149A4" w:rsidP="00902AB8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اول : اگر چه در کلام مرحوم شیخ در فهرست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استبصار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، سالم بن مکرم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تضیعف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شده است اما بر حسب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قاموس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الرجال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معجم</w:t>
      </w:r>
      <w:proofErr w:type="spellEnd"/>
      <w:r w:rsidR="00902AB8">
        <w:rPr>
          <w:rFonts w:ascii="B Badr" w:hAnsi="B Badr" w:cs="B Badr" w:hint="cs"/>
          <w:sz w:val="32"/>
          <w:szCs w:val="32"/>
          <w:rtl/>
        </w:rPr>
        <w:t xml:space="preserve"> هم </w:t>
      </w:r>
      <w:r>
        <w:rPr>
          <w:rFonts w:ascii="B Badr" w:hAnsi="B Badr" w:cs="B Badr" w:hint="cs"/>
          <w:sz w:val="32"/>
          <w:szCs w:val="32"/>
          <w:rtl/>
        </w:rPr>
        <w:t xml:space="preserve"> به این وجه اعتماد کرده است، تضعیف شیخ حمل بر اشتباه می شود . زیرا شیخ خیال کرده است که سالم بن مکرم همان سالم بن ابی سلمه است که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هم ابن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غضائری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او را تضعیف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. شاهد بر اشتباه شیخ، این است که در ترجمه سالم بن مکرم در فهرست، وقتی می خواهد طریق را به او ذکر کند، می گوید سالم بن ابی سلمه و هو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</w:t>
      </w:r>
      <w:r w:rsidR="00902AB8">
        <w:rPr>
          <w:rFonts w:ascii="B Badr" w:hAnsi="B Badr" w:cs="B Badr" w:hint="cs"/>
          <w:sz w:val="32"/>
          <w:szCs w:val="32"/>
          <w:rtl/>
        </w:rPr>
        <w:t>و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این که ابی سلمه را به عنوان پدر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نشان از اشتباه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</w:t>
      </w:r>
    </w:p>
    <w:p w:rsidR="00B149A4" w:rsidRDefault="00B149A4" w:rsidP="007B729D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دوم : این وجه هم در قاموس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اما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معجم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را قبول نکرده است . طبق این وجه مرحوم شیخ دو قول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متعارض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902AB8">
        <w:rPr>
          <w:rFonts w:ascii="B Badr" w:hAnsi="B Badr" w:cs="B Badr" w:hint="cs"/>
          <w:sz w:val="32"/>
          <w:szCs w:val="32"/>
          <w:rtl/>
        </w:rPr>
        <w:t xml:space="preserve">دارد </w:t>
      </w:r>
      <w:r>
        <w:rPr>
          <w:rFonts w:ascii="B Badr" w:hAnsi="B Badr" w:cs="B Badr" w:hint="cs"/>
          <w:sz w:val="32"/>
          <w:szCs w:val="32"/>
          <w:rtl/>
        </w:rPr>
        <w:t xml:space="preserve">زیرا در یک جا به حسب قول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علامه همین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کرده و یک جا هم تضعیف کرده است . وقتی کلمات خود مرحوم شیخ مختلف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متعارض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باشد، </w:t>
      </w:r>
      <w:r w:rsidR="007B729D">
        <w:rPr>
          <w:rFonts w:ascii="B Badr" w:hAnsi="B Badr" w:cs="B Badr" w:hint="cs"/>
          <w:sz w:val="32"/>
          <w:szCs w:val="32"/>
          <w:rtl/>
        </w:rPr>
        <w:t>برای</w:t>
      </w:r>
      <w:r>
        <w:rPr>
          <w:rFonts w:ascii="B Badr" w:hAnsi="B Badr" w:cs="B Badr" w:hint="cs"/>
          <w:sz w:val="32"/>
          <w:szCs w:val="32"/>
          <w:rtl/>
        </w:rPr>
        <w:t xml:space="preserve"> شیخ در این مساله </w:t>
      </w:r>
      <w:r w:rsidR="007B729D">
        <w:rPr>
          <w:rFonts w:ascii="B Badr" w:hAnsi="B Badr" w:cs="B Badr" w:hint="cs"/>
          <w:sz w:val="32"/>
          <w:szCs w:val="32"/>
          <w:rtl/>
        </w:rPr>
        <w:t xml:space="preserve">قولی </w:t>
      </w:r>
      <w:r>
        <w:rPr>
          <w:rFonts w:ascii="B Badr" w:hAnsi="B Badr" w:cs="B Badr" w:hint="cs"/>
          <w:sz w:val="32"/>
          <w:szCs w:val="32"/>
          <w:rtl/>
        </w:rPr>
        <w:t xml:space="preserve">در مقابل قول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ثابت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تا با ان تعارض پیدا کند.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قول یک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ثقه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در مقابل قول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ثقه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 قرار می دهند که قول واحد داشته باشد اما اگر خود او دو حرف مختلف داشته باشد، </w:t>
      </w:r>
      <w:r w:rsidR="007B729D">
        <w:rPr>
          <w:rFonts w:ascii="B Badr" w:hAnsi="B Badr" w:cs="B Badr" w:hint="cs"/>
          <w:sz w:val="32"/>
          <w:szCs w:val="32"/>
          <w:rtl/>
        </w:rPr>
        <w:t xml:space="preserve">به </w:t>
      </w:r>
      <w:r>
        <w:rPr>
          <w:rFonts w:ascii="B Badr" w:hAnsi="B Badr" w:cs="B Badr" w:hint="cs"/>
          <w:sz w:val="32"/>
          <w:szCs w:val="32"/>
          <w:rtl/>
        </w:rPr>
        <w:t xml:space="preserve">قول او </w:t>
      </w:r>
      <w:r w:rsidR="007B729D">
        <w:rPr>
          <w:rFonts w:ascii="B Badr" w:hAnsi="B Badr" w:cs="B Badr" w:hint="cs"/>
          <w:sz w:val="32"/>
          <w:szCs w:val="32"/>
          <w:rtl/>
        </w:rPr>
        <w:t>اعتناء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7B729D">
        <w:rPr>
          <w:rFonts w:ascii="B Badr" w:hAnsi="B Badr" w:cs="B Badr" w:hint="cs"/>
          <w:sz w:val="32"/>
          <w:szCs w:val="32"/>
          <w:rtl/>
        </w:rPr>
        <w:t>ک</w:t>
      </w:r>
      <w:r>
        <w:rPr>
          <w:rFonts w:ascii="B Badr" w:hAnsi="B Badr" w:cs="B Badr" w:hint="cs"/>
          <w:sz w:val="32"/>
          <w:szCs w:val="32"/>
          <w:rtl/>
        </w:rPr>
        <w:t xml:space="preserve">نند تا در مقابل قول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ثقه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متعارض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محسوب شود .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وجوه دیگری هم برای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سالم بن مکرم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دارد مثل اینکه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قول رجالی از باب رجوع جاهل به عالم و اهل خبره باشد،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 موارد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خبرویت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موضوع رجوع است، چنانچه میان اهل خبره اختلاف شود به قول کسی اخذ می کنند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خبرویت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بیشتری دارد . طبق این قاعده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تعارض بین قول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قول شیخ طوسی </w:t>
      </w:r>
      <w:r w:rsidR="007B729D">
        <w:rPr>
          <w:rFonts w:ascii="B Badr" w:hAnsi="B Badr" w:cs="B Badr" w:hint="cs"/>
          <w:sz w:val="32"/>
          <w:szCs w:val="32"/>
          <w:rtl/>
        </w:rPr>
        <w:t xml:space="preserve">گفته </w:t>
      </w:r>
      <w:proofErr w:type="spellStart"/>
      <w:r w:rsidR="007B729D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="007B729D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باید به قول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خبرویت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بیتشری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اخذ کرد . زیرا شیخ طوسی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متحمض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رجال نبوده و لذا امکان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اشتباهش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بیشتر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نجاشی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خواهد بود .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بررسی دلالی این روایت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موردش قاضی تحکیم است یا قاضی منصوب، به بعد از طرح روایت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موکول می شود .</w:t>
      </w:r>
    </w:p>
    <w:p w:rsidR="00B149A4" w:rsidRPr="00F47CA0" w:rsidRDefault="00B149A4" w:rsidP="00B149A4">
      <w:pPr>
        <w:pStyle w:val="a6"/>
        <w:numPr>
          <w:ilvl w:val="0"/>
          <w:numId w:val="1"/>
        </w:numPr>
        <w:jc w:val="both"/>
        <w:rPr>
          <w:rFonts w:ascii="B Badr" w:hAnsi="B Badr" w:cs="B Badr"/>
          <w:sz w:val="32"/>
          <w:szCs w:val="32"/>
          <w:rtl/>
        </w:rPr>
      </w:pPr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مُحَمَّدُ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يَعْقُوبَ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مُحَمَّدِ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يَحْيَى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مُحَمَّدِ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الْحُسَيْنِ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مُحَمَّدِ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عِيسَى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صَفْوَانَ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يَحْيَى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دَاوُدَ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الْحُصَيْنِ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عُمَرَ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حَنْظَلَةَ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قَالَ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: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سَأَلْتُ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أَبَا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عَبْدِ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اللَّهِ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علیه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رَجُلَيْنِ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مِنْ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أَصْحَابِنَا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بَيْنَهُمَا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مُنَازَعَةٌ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فِي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دَيْنٍ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أَوْ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مِيرَاثٍ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فَتَحَاكَمَا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إِلَى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السُّلْطَانِ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إِلَى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الْقُضَاةِ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يَحِلُّ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ذَلِكَ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قَالَ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تَحَاكَمَ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إِلَيْهِمْ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فِي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حَقٍّ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أَوْ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بَاطِلٍ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فَإِنَّمَا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تَحَاكَمَ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إِلَى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الطَّاغُوتِ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يُحْكَمُ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لَهُ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فَإِنَّمَا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يَأْخُذُ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سُحْتاً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إِنْ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كَانَ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حَقّاً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ثَابِتاً</w:t>
      </w:r>
      <w:proofErr w:type="spellEnd"/>
      <w:r w:rsidRPr="00F47CA0">
        <w:rPr>
          <w:rFonts w:ascii="B Badr" w:hAnsi="B Badr" w:cs="B Badr" w:hint="cs"/>
          <w:sz w:val="32"/>
          <w:szCs w:val="32"/>
        </w:rPr>
        <w:t>‌</w:t>
      </w:r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لَهُ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لِأَنَّهُ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أَخَذَهُ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بِحُكْمِ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الطَّاغُوتِ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أَمَرَ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اللَّهُ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يُكْفَرَ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قَالَ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اللَّهُ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تَعَالَى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يُرِيدُونَ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يَتَحاكَمُوا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إِلَى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الطّاغُوتِ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قَدْ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أُمِرُوا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يَكْفُرُوا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قُلْتُ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فَكَيْفَ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يَصْنَعَانِ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قَالَ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يَنْظُرَانِ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كَانَ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مِنْكُمْ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مِمَّنْ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قَدْ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رَوَى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حَدِيثَنَا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نَظَرَ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فِي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حَلَالِنَا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حَرَامِنَا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عَرَفَ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أَحْكَامَنَا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فَلْيَرْضَوْا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حَكَماً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فَإِنِّي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قَدْ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جَعَلْتُهُ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عَلَيْكُمْ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حَاكِماً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فَإِذَا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حَكَمَ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بِحُكْمِنَا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فَلَمْ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يُقْبَلُ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lastRenderedPageBreak/>
        <w:t>مِنْهُ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فَإِنَّمَا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اسْتُخِفَّ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بِحُكْمِ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اللَّهِ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عَلَيْنَا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رُدَّ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الرَّادُّ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عَلَيْنَا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الرَّادُّ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اللَّهِ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هُوَ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عَلَى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حَدِّ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الشِّرْكِ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بِاللَّهِ</w:t>
      </w:r>
      <w:proofErr w:type="spellEnd"/>
      <w:r w:rsidRPr="00F47CA0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F47CA0">
        <w:rPr>
          <w:rFonts w:ascii="B Badr" w:hAnsi="B Badr" w:cs="B Badr" w:hint="cs"/>
          <w:sz w:val="32"/>
          <w:szCs w:val="32"/>
          <w:rtl/>
        </w:rPr>
        <w:t>الْحَدِيثَ</w:t>
      </w:r>
      <w:proofErr w:type="spellEnd"/>
      <w:r>
        <w:rPr>
          <w:rStyle w:val="a5"/>
          <w:rFonts w:ascii="B Badr" w:hAnsi="B Badr" w:cs="B Badr"/>
          <w:sz w:val="32"/>
          <w:szCs w:val="32"/>
          <w:rtl/>
        </w:rPr>
        <w:footnoteReference w:id="2"/>
      </w:r>
      <w:r w:rsidRPr="00F47CA0">
        <w:rPr>
          <w:rFonts w:ascii="B Badr" w:hAnsi="B Badr" w:cs="B Badr" w:hint="cs"/>
          <w:sz w:val="32"/>
          <w:szCs w:val="32"/>
          <w:rtl/>
        </w:rPr>
        <w:t>.</w:t>
      </w:r>
    </w:p>
    <w:p w:rsidR="00B149A4" w:rsidRDefault="00622556" w:rsidP="00622556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تقريب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B149A4">
        <w:rPr>
          <w:rFonts w:ascii="B Badr" w:hAnsi="B Badr" w:cs="B Badr" w:hint="cs"/>
          <w:sz w:val="32"/>
          <w:szCs w:val="32"/>
          <w:rtl/>
        </w:rPr>
        <w:t xml:space="preserve">استدلال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B149A4">
        <w:rPr>
          <w:rFonts w:ascii="B Badr" w:hAnsi="B Badr" w:cs="B Badr" w:hint="cs"/>
          <w:sz w:val="32"/>
          <w:szCs w:val="32"/>
          <w:rtl/>
        </w:rPr>
        <w:t xml:space="preserve">است که امام علیه </w:t>
      </w:r>
      <w:proofErr w:type="spellStart"/>
      <w:r w:rsidR="00B149A4"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 w:rsidR="00B149A4">
        <w:rPr>
          <w:rFonts w:ascii="B Badr" w:hAnsi="B Badr" w:cs="B Badr" w:hint="cs"/>
          <w:sz w:val="32"/>
          <w:szCs w:val="32"/>
          <w:rtl/>
        </w:rPr>
        <w:t xml:space="preserve"> فرموده </w:t>
      </w:r>
      <w:proofErr w:type="spellStart"/>
      <w:r w:rsidR="00B149A4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="00B149A4">
        <w:rPr>
          <w:rFonts w:ascii="B Badr" w:hAnsi="B Badr" w:cs="B Badr" w:hint="cs"/>
          <w:sz w:val="32"/>
          <w:szCs w:val="32"/>
          <w:rtl/>
        </w:rPr>
        <w:t xml:space="preserve"> باید به قضاوت شخصی که دارای ویژگی های مزبور است راضی شوید چراکه من او را به عنوان قاضی برای شما نصب کردم . </w:t>
      </w:r>
    </w:p>
    <w:p w:rsidR="00B149A4" w:rsidRDefault="00B149A4" w:rsidP="007B729D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اشکال سندی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بحث تعادل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مطرح شد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خاصی در مورد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وارد نشده است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اضافه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7B729D">
        <w:rPr>
          <w:rFonts w:ascii="B Badr" w:hAnsi="B Badr" w:cs="B Badr" w:hint="cs"/>
          <w:sz w:val="32"/>
          <w:szCs w:val="32"/>
          <w:rtl/>
        </w:rPr>
        <w:t>هرچند</w:t>
      </w:r>
      <w:r>
        <w:rPr>
          <w:rFonts w:ascii="B Badr" w:hAnsi="B Badr" w:cs="B Badr" w:hint="cs"/>
          <w:sz w:val="32"/>
          <w:szCs w:val="32"/>
          <w:rtl/>
        </w:rPr>
        <w:t xml:space="preserve"> در مورد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روایتی داریم که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یکذب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علینا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اما یزید بن خلیفه در طریق این روایت،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. لذا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اشکال من حیث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کنند .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بحث تعادل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این اشکال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جواب داده شد . یکی اینکه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اساس قاعده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معاریف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مکررا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ان استناد شده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توثیق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. زیرا او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معاریف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بوده و در موردش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قدحی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نیامده است . وجه دیگر اینکه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صفوان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یک مورد از او روایت نقل کرده است . این را هم نگوییم، یزید به خلیفه که روایت دال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وثاقت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نقل می کند مروی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مشایخ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ثلاثه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لذا روایت دال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وثاقت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تصحیح می شود . </w:t>
      </w:r>
    </w:p>
    <w:p w:rsidR="00B149A4" w:rsidRDefault="00B149A4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از جهت دلالت، هم در روایت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هم در معتبره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اختلاف نظر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مربوط به قاضی تحکیم است یا قاضی منصوب . </w:t>
      </w:r>
    </w:p>
    <w:p w:rsidR="00B149A4" w:rsidRDefault="00B149A4" w:rsidP="00622556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سه نظر وجود دارد . نظر معروف این است که این دو روایت مربوط به قاضی منصوب است .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قائل شده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مربوط به قاضی منصوب است اما معتبره مربوط به قاضی تحکیم.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="00622556">
        <w:rPr>
          <w:rFonts w:ascii="B Badr" w:hAnsi="B Badr" w:cs="B Badr" w:hint="cs"/>
          <w:sz w:val="32"/>
          <w:szCs w:val="32"/>
          <w:rtl/>
        </w:rPr>
        <w:t xml:space="preserve"> هر دو </w:t>
      </w:r>
      <w:proofErr w:type="spellStart"/>
      <w:r w:rsidR="00622556">
        <w:rPr>
          <w:rFonts w:ascii="B Badr" w:hAnsi="B Badr" w:cs="B Badr" w:hint="cs"/>
          <w:sz w:val="32"/>
          <w:szCs w:val="32"/>
          <w:rtl/>
        </w:rPr>
        <w:t>روايت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مربوط به قاضی تحکیم است .</w:t>
      </w:r>
    </w:p>
    <w:p w:rsidR="00B149A4" w:rsidRDefault="00622556" w:rsidP="00B149A4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وجه قول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 که </w:t>
      </w:r>
      <w:r w:rsidR="00B149A4">
        <w:rPr>
          <w:rFonts w:ascii="B Badr" w:hAnsi="B Badr" w:cs="B Badr" w:hint="cs"/>
          <w:sz w:val="32"/>
          <w:szCs w:val="32"/>
          <w:rtl/>
        </w:rPr>
        <w:t xml:space="preserve">ظاهر </w:t>
      </w:r>
      <w:proofErr w:type="spellStart"/>
      <w:r w:rsidR="00B149A4"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 w:rsidR="00B149A4">
        <w:rPr>
          <w:rFonts w:ascii="B Badr" w:hAnsi="B Badr" w:cs="B Badr" w:hint="cs"/>
          <w:sz w:val="32"/>
          <w:szCs w:val="32"/>
          <w:rtl/>
        </w:rPr>
        <w:t xml:space="preserve"> در هر دو روایت این است که چون امام علیه </w:t>
      </w:r>
      <w:proofErr w:type="spellStart"/>
      <w:r w:rsidR="00B149A4"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 w:rsidR="00B149A4">
        <w:rPr>
          <w:rFonts w:ascii="B Badr" w:hAnsi="B Badr" w:cs="B Badr" w:hint="cs"/>
          <w:sz w:val="32"/>
          <w:szCs w:val="32"/>
          <w:rtl/>
        </w:rPr>
        <w:t xml:space="preserve"> نصب کرده باید رجوع شود. این اقتضاء می کند که مربوط به قاضی منصوب باشد نه تحکیم .</w:t>
      </w:r>
    </w:p>
    <w:p w:rsidR="00B149A4" w:rsidRDefault="00B149A4" w:rsidP="00622556">
      <w:pPr>
        <w:ind w:firstLine="386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بیان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نسبت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مبانی تکمله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روایت دارد </w:t>
      </w:r>
      <w:r>
        <w:rPr>
          <w:rFonts w:ascii="B Badr" w:hAnsi="B Badr" w:cs="Cambria" w:hint="cs"/>
          <w:sz w:val="32"/>
          <w:szCs w:val="32"/>
          <w:rtl/>
        </w:rPr>
        <w:t>"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فلیرضوا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حکما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یعنی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مومنین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ملزم هستند که تن به قضاوت چنان شخصی بدهند .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الزام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جلعته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حاکما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و مقتضای ان منصوب بودن قاضی از طرف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است. اما در روایت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ناظر به قاضی تحکیم است . زیرا در این روایت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نگاه کنید کسی که از احکام قضاوت ما اطلاع دارد، خودتان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قضاوت این شخص فقیه کنید . حال که می فرماید </w:t>
      </w:r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انی 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حاکما</w:t>
      </w:r>
      <w:proofErr w:type="spellEnd"/>
      <w:r>
        <w:rPr>
          <w:rFonts w:ascii="B Badr" w:hAnsi="B Badr" w:cs="Cambria" w:hint="cs"/>
          <w:sz w:val="32"/>
          <w:szCs w:val="32"/>
          <w:rtl/>
        </w:rPr>
        <w:t>"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622556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622556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622556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متفرع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سابق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</w:t>
      </w:r>
      <w:r w:rsidR="00622556">
        <w:rPr>
          <w:rFonts w:ascii="B Badr" w:hAnsi="B Badr" w:cs="B Badr" w:hint="cs"/>
          <w:sz w:val="32"/>
          <w:szCs w:val="32"/>
          <w:rtl/>
        </w:rPr>
        <w:t>از</w:t>
      </w:r>
      <w:proofErr w:type="spellEnd"/>
      <w:r w:rsidR="00622556">
        <w:rPr>
          <w:rFonts w:ascii="B Badr" w:hAnsi="B Badr" w:cs="B Badr" w:hint="cs"/>
          <w:sz w:val="32"/>
          <w:szCs w:val="32"/>
          <w:rtl/>
        </w:rPr>
        <w:t xml:space="preserve"> آنجا که</w:t>
      </w:r>
      <w:r>
        <w:rPr>
          <w:rFonts w:ascii="B Badr" w:hAnsi="B Badr" w:cs="B Badr" w:hint="cs"/>
          <w:sz w:val="32"/>
          <w:szCs w:val="32"/>
          <w:rtl/>
        </w:rPr>
        <w:t xml:space="preserve"> در عبارت سابق قاضی با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طرفین قرار داده شد طبعا </w:t>
      </w:r>
      <w:proofErr w:type="spellStart"/>
      <w:r w:rsidR="00622556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622556">
        <w:rPr>
          <w:rFonts w:ascii="B Badr" w:hAnsi="B Badr" w:cs="B Badr" w:hint="cs"/>
          <w:sz w:val="32"/>
          <w:szCs w:val="32"/>
          <w:rtl/>
        </w:rPr>
        <w:t xml:space="preserve"> عبارت </w:t>
      </w:r>
      <w:r>
        <w:rPr>
          <w:rFonts w:ascii="B Badr" w:hAnsi="B Badr" w:cs="B Badr" w:hint="cs"/>
          <w:sz w:val="32"/>
          <w:szCs w:val="32"/>
          <w:rtl/>
        </w:rPr>
        <w:t xml:space="preserve">دلالت بر قاضی منصوب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. یعنی چون شما او را قاضی قرار دادید من او را به عنوان قاضی قرار دادم . بنابراین دلالت بر نصب قاضی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ابتداءا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ندارد. </w:t>
      </w:r>
    </w:p>
    <w:p w:rsidR="003956BE" w:rsidRDefault="00B149A4" w:rsidP="00622556"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در </w:t>
      </w:r>
      <w:r w:rsidR="00622556">
        <w:rPr>
          <w:rFonts w:ascii="B Badr" w:hAnsi="B Badr" w:cs="B Badr" w:hint="cs"/>
          <w:sz w:val="32"/>
          <w:szCs w:val="32"/>
          <w:rtl/>
        </w:rPr>
        <w:t>ک</w:t>
      </w:r>
      <w:r>
        <w:rPr>
          <w:rFonts w:ascii="B Badr" w:hAnsi="B Badr" w:cs="B Badr" w:hint="cs"/>
          <w:sz w:val="32"/>
          <w:szCs w:val="32"/>
          <w:rtl/>
        </w:rPr>
        <w:t>ت</w:t>
      </w:r>
      <w:r w:rsidR="00622556">
        <w:rPr>
          <w:rFonts w:ascii="B Badr" w:hAnsi="B Badr" w:cs="B Badr" w:hint="cs"/>
          <w:sz w:val="32"/>
          <w:szCs w:val="32"/>
          <w:rtl/>
        </w:rPr>
        <w:t xml:space="preserve">اب </w:t>
      </w:r>
      <w:r>
        <w:rPr>
          <w:rFonts w:ascii="B Badr" w:hAnsi="B Badr" w:cs="B Badr" w:hint="cs"/>
          <w:sz w:val="32"/>
          <w:szCs w:val="32"/>
          <w:rtl/>
        </w:rPr>
        <w:t xml:space="preserve"> قضاء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فرموه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معتبره ارتباطی با قاضی منصوب ندارد. زیرا امام علیه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السلام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امر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متنازعین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رجوع به عالمی که صفات مذکور در روایت را دارد توافق کنند و امر شده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راضی به قضاوت او بشوند. مقتضای امر به توافق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یک قاضی این است که مربوط به قاضی تحکیم باشد نه منصوب. زیرا اگر مورد این روایت قاضی منصوب باشد، در لزوم مراجعه به قاضی منصوب،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طرفین معتبر نیست . در باب قضاء مقرر است که تعیین قاضی حق مدعی است و مدعی علیه ملزم به مراجعه به همان قاضی است . لذا لزوم توافق در این روایت نشان می دهد که مورد قاضی تحکیم است که نیازمند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باشد نه قاضی منصوب . بنابراین اگر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حلبی اطلاق داشته باشد که شما به هر شخصی که عالم بود می توانید مراجعه کنید ولو مجتهد نباشد، با معتبره ابی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خدیجه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مقبوله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عمر بن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حنظله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قید می خورد و </w:t>
      </w: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>اجتهاد در قاضی تحکیم معتبر می شود .</w:t>
      </w:r>
    </w:p>
    <w:sectPr w:rsidR="003956BE" w:rsidSect="003956BE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AB" w:rsidRDefault="000919AB" w:rsidP="00B149A4">
      <w:pPr>
        <w:spacing w:after="0" w:line="240" w:lineRule="auto"/>
      </w:pPr>
      <w:r>
        <w:separator/>
      </w:r>
    </w:p>
  </w:endnote>
  <w:endnote w:type="continuationSeparator" w:id="0">
    <w:p w:rsidR="000919AB" w:rsidRDefault="000919AB" w:rsidP="00B1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AB" w:rsidRDefault="000919AB" w:rsidP="00B149A4">
      <w:pPr>
        <w:spacing w:after="0" w:line="240" w:lineRule="auto"/>
      </w:pPr>
      <w:r>
        <w:separator/>
      </w:r>
    </w:p>
  </w:footnote>
  <w:footnote w:type="continuationSeparator" w:id="0">
    <w:p w:rsidR="000919AB" w:rsidRDefault="000919AB" w:rsidP="00B149A4">
      <w:pPr>
        <w:spacing w:after="0" w:line="240" w:lineRule="auto"/>
      </w:pPr>
      <w:r>
        <w:continuationSeparator/>
      </w:r>
    </w:p>
  </w:footnote>
  <w:footnote w:id="1">
    <w:p w:rsidR="00B149A4" w:rsidRDefault="00B149A4" w:rsidP="00B149A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>/27/14.</w:t>
      </w:r>
    </w:p>
  </w:footnote>
  <w:footnote w:id="2">
    <w:p w:rsidR="00B149A4" w:rsidRDefault="00B149A4" w:rsidP="00B149A4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>/27/13و 136.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34821027"/>
      <w:docPartObj>
        <w:docPartGallery w:val="Page Numbers (Top of Page)"/>
        <w:docPartUnique/>
      </w:docPartObj>
    </w:sdtPr>
    <w:sdtContent>
      <w:p w:rsidR="00902AB8" w:rsidRDefault="00902A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56" w:rsidRPr="00622556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902AB8" w:rsidRDefault="00902A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7BCD"/>
    <w:multiLevelType w:val="hybridMultilevel"/>
    <w:tmpl w:val="C63806F4"/>
    <w:lvl w:ilvl="0" w:tplc="F30CB37A">
      <w:start w:val="1"/>
      <w:numFmt w:val="decimal"/>
      <w:lvlText w:val="%1-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A4"/>
    <w:rsid w:val="000919AB"/>
    <w:rsid w:val="003956BE"/>
    <w:rsid w:val="00622556"/>
    <w:rsid w:val="007B729D"/>
    <w:rsid w:val="00902AB8"/>
    <w:rsid w:val="00B149A4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A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49A4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B149A4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49A4"/>
    <w:rPr>
      <w:vertAlign w:val="superscript"/>
    </w:rPr>
  </w:style>
  <w:style w:type="paragraph" w:styleId="a6">
    <w:name w:val="List Paragraph"/>
    <w:basedOn w:val="a"/>
    <w:uiPriority w:val="34"/>
    <w:qFormat/>
    <w:rsid w:val="00B149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902AB8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90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902AB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A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49A4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B149A4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49A4"/>
    <w:rPr>
      <w:vertAlign w:val="superscript"/>
    </w:rPr>
  </w:style>
  <w:style w:type="paragraph" w:styleId="a6">
    <w:name w:val="List Paragraph"/>
    <w:basedOn w:val="a"/>
    <w:uiPriority w:val="34"/>
    <w:qFormat/>
    <w:rsid w:val="00B149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902AB8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902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902A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mirdamadi</dc:creator>
  <cp:keywords/>
  <dc:description/>
  <cp:lastModifiedBy>سلام</cp:lastModifiedBy>
  <cp:revision>2</cp:revision>
  <dcterms:created xsi:type="dcterms:W3CDTF">2020-09-23T17:45:00Z</dcterms:created>
  <dcterms:modified xsi:type="dcterms:W3CDTF">2020-09-24T19:01:00Z</dcterms:modified>
</cp:coreProperties>
</file>