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سه شنبه 8/7/99                                     </w:t>
      </w:r>
      <w:bookmarkStart w:id="0" w:name="_GoBack"/>
      <w:bookmarkEnd w:id="0"/>
      <w:r>
        <w:rPr>
          <w:rFonts w:ascii="B Badr" w:hAnsi="B Badr" w:cs="B Badr" w:hint="cs"/>
          <w:sz w:val="32"/>
          <w:szCs w:val="32"/>
          <w:rtl/>
        </w:rPr>
        <w:t xml:space="preserve">                        جلسه 17</w:t>
      </w:r>
    </w:p>
    <w:p w:rsidR="00A878EB" w:rsidRDefault="00A878EB" w:rsidP="0072659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همانطور که گفته شد،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مصباح فرمودند که هرچند عنوان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یعلم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شیئا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فی حد نفسه دانستن یک یا دو مساله را نیز در بر می گیرد اما چون مضاف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>، امری است در نهایت کثرت، باید شیئ هم فی حد نفسه کثیر باشد و برای همین بر استنباط و معرفت یک یا دو مساله صادق نیست .</w:t>
      </w:r>
    </w:p>
    <w:p w:rsidR="00A878EB" w:rsidRDefault="00A878EB" w:rsidP="0072659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ایشان همین مطلب را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تنقیح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عنوان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یقال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مطرح کرده و از ان جواب داده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ولو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امر کثیر، ظاهر در این است که خود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باید کثرت فی حد نفسه داشته باشد اما در متن روایت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اختلاف وجود دارد؛ در طریق کلینی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صدوق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معتبر نیز می باشد 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دارد و در طریق شیخ در تهذیب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که در طریق ایشان معلی بن محمد وجود دارد و لذا معتبر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باشد. بنابراین اگر نقل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" صحیح باشد،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انجایی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مقصود از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احکام قضایی در مقام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ترافع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این دسته از احکام که به دست ما رسیده هیچگاه به ان حدّ از کثرت نیست بلکه قلیل به شمار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پس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این احکام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قلیله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در جایی که شخص یک یا دو مساله را هم در مقام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ترافع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استنباط کرده باشد صادق است. </w:t>
      </w:r>
    </w:p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ممکن است نسبت به این فرمایش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اولا اینکه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نقل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صدوق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هست ظاهرا اینطور نباشد بلکه در فقیه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نقل شده است و اگرچه در خود کافی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" ثبت شده، اما همانطور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کافی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در وافی که از کافی نقل می کند و نیز در تهذیب و فقیه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 </w:t>
      </w:r>
    </w:p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ثانیا: اگر هم در نقل معتبر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باشد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نقل غیر معتبر وارد شده باشد که این هم جای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چون سند مرحوم شیخ ولو مشتمل بر معلی بن محمد است اما وی با بعضی از مبانی رجالی من جمله قاعده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معاریف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قابل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است، اما باز هم مقصود از 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در اینجا مجموعه احکام است به معنای مطالبی که به عنوان حکم از اهل بیت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علیهم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گرفته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شده است نه فقط حکم مربوط به مقام نزاع که حکم قضایی باشد . اگر هم اختصاص را به احکام قضایی قبول کردیم مثل بعضی از مطالب که از امیرالمومنین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از سایر ائمه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علیهم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موارد فصل خصومت نقل شده است،  باز هم چون این احکام، در مجموع کثیر و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متعدده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هستند،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شیئا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قضاءنا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در جایی که یک یا دو مساله را یاد بگیرد صدق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بلکه باید عدد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معتد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را از احکام قضایی یاد گرفته باشد . بنابراین از معتبره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دست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نفوذ قضاء قاضی مجتهد هر چند علم به جمیع احکام لازم نیست اما باید قاضی مقدار قابل توجهی از احکام را فرا گرفته باشد. </w:t>
      </w:r>
    </w:p>
    <w:p w:rsidR="00A878EB" w:rsidRDefault="00A878EB" w:rsidP="0072659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عنوانی که وارد شده "عرف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احکامنا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 xml:space="preserve">" </w:t>
      </w:r>
      <w:r>
        <w:rPr>
          <w:rFonts w:ascii="B Badr" w:hAnsi="B Badr" w:cs="B Badr" w:hint="cs"/>
          <w:sz w:val="32"/>
          <w:szCs w:val="32"/>
          <w:rtl/>
        </w:rPr>
        <w:t xml:space="preserve">است. این عنوان هم با توجه به اینکه جمع مضاف، مفید عموم است یعنی باید همه احکام را یاد گرفته باشد . لذا اگر ما بودیم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اختصاص به جایی پیدا می کرد که شخص همه احکام را یاد گرفته باشد. البته معرفت به همه احکام هیچگاه برای غیر ائمه هدی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علیهم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محقق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لذا منظور از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عرف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احکامنا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" باید </w:t>
      </w:r>
      <w:proofErr w:type="spellStart"/>
      <w:r w:rsidR="00726599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726599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باشد که به حسب صدق عرفی همه موارد محل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ابتلاء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استنباط کرده باشد. این عنوان هم در جایی صادق است که شخص مجتهد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استنباط او هم به فعلیت رسیده باشد نه فقط مجرد قدرت بر استنباط باشد . بنابراین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دلالت بر لزوم اجتهاد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کند اما با توجه به اینکه در کنار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معتبره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صراحت داشت در اینکه معرفت مقدار قابل توجهی از احکام کافی است، مقتضای جمع بین این دو، کفایت همین مقدار می شود.</w:t>
      </w:r>
    </w:p>
    <w:p w:rsidR="00A878EB" w:rsidRPr="00CB7A84" w:rsidRDefault="00A878EB" w:rsidP="00A878EB">
      <w:pPr>
        <w:ind w:firstLine="386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CB7A84">
        <w:rPr>
          <w:rFonts w:ascii="B Badr" w:hAnsi="B Badr" w:cs="B Badr" w:hint="cs"/>
          <w:b/>
          <w:bCs/>
          <w:sz w:val="32"/>
          <w:szCs w:val="32"/>
          <w:rtl/>
        </w:rPr>
        <w:t xml:space="preserve">ناحیه دوم: قضاوت قاضی </w:t>
      </w:r>
      <w:proofErr w:type="spellStart"/>
      <w:r w:rsidRPr="00CB7A84">
        <w:rPr>
          <w:rFonts w:ascii="B Badr" w:hAnsi="B Badr" w:cs="B Badr" w:hint="cs"/>
          <w:b/>
          <w:bCs/>
          <w:sz w:val="32"/>
          <w:szCs w:val="32"/>
          <w:rtl/>
        </w:rPr>
        <w:t>انفتاحی</w:t>
      </w:r>
      <w:proofErr w:type="spellEnd"/>
      <w:r w:rsidRPr="00CB7A84">
        <w:rPr>
          <w:rFonts w:ascii="B Badr" w:hAnsi="B Badr" w:cs="B Badr" w:hint="cs"/>
          <w:b/>
          <w:bCs/>
          <w:sz w:val="32"/>
          <w:szCs w:val="32"/>
          <w:rtl/>
        </w:rPr>
        <w:t xml:space="preserve"> و قاضی انسدادی</w:t>
      </w:r>
    </w:p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اجتهاد در قاضی کفایت می کند چه قاضی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چه انسدادی و یا صرفا قضاوت قاضی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نافذ است و مجتهد انسدادی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قضاوت کند؟</w:t>
      </w:r>
    </w:p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اینجا مطرح شده و به تبع، در مقام بررسی و نقد 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بررسی نفوذ قاضی انسدادی در این فرض است که مدرک اعتبار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اجتهاد در قاضی، ادله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لفظیه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اما باید در هر دو فرض چه مدرک ادله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لفظیه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چه دلیل حفظ نظام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حسبه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بحث پیگیری شود. </w:t>
      </w:r>
    </w:p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بر فرض</w:t>
      </w:r>
      <w:r w:rsidR="00726599">
        <w:rPr>
          <w:rFonts w:ascii="B Badr" w:hAnsi="B Badr" w:cs="B Badr" w:hint="cs"/>
          <w:sz w:val="32"/>
          <w:szCs w:val="32"/>
          <w:rtl/>
        </w:rPr>
        <w:t>ی</w:t>
      </w:r>
      <w:r>
        <w:rPr>
          <w:rFonts w:ascii="B Badr" w:hAnsi="B Badr" w:cs="B Badr" w:hint="cs"/>
          <w:sz w:val="32"/>
          <w:szCs w:val="32"/>
          <w:rtl/>
        </w:rPr>
        <w:t xml:space="preserve"> که دلیل اعتبار اجتهاد در قاضی، حفظ نظام باشد، باید دید که در این فرض،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 اینکه اجتهاد مجتهد بر اساس مبنای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باب علم و علمی باشد با اینکه بر اساس انسداد باب علم و علمی باشد، احتمال فرق وجود دارد یا خیر؟ </w:t>
      </w:r>
    </w:p>
    <w:p w:rsidR="00A878EB" w:rsidRDefault="00A878EB" w:rsidP="00555B40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ابتدا به ذهن می رسد که این مورد هم از موارد دوران بین اقل و اکثر در مقدار حجت است. چون قضاء مجتهد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قطعا حجت است و نسبت به قضاوت مجتهد انسدادی شک داریم و لذا خارج از مقدار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متیقن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شود. ولی ممکن است گفته شود که تامل در این مورد با در نظر گرفتن مناسبت حکم و موضوع، اقتضاء می کند که اجتهاد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خصوصیتی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نداشته باشد. زیرا در جهت حفظ نظام، تفاوتی میان قضاوت مجتهد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مجتهد انسدادی نیست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</w:t>
      </w:r>
      <w:r w:rsidR="00555B40">
        <w:rPr>
          <w:rFonts w:ascii="B Badr" w:hAnsi="B Badr" w:cs="B Badr" w:hint="cs"/>
          <w:sz w:val="32"/>
          <w:szCs w:val="32"/>
          <w:rtl/>
        </w:rPr>
        <w:t>اينطور</w:t>
      </w:r>
      <w:proofErr w:type="spellEnd"/>
      <w:r w:rsidR="00555B4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555B40"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 w:rsidR="00555B40">
        <w:rPr>
          <w:rFonts w:ascii="B Badr" w:hAnsi="B Badr" w:cs="B Badr" w:hint="cs"/>
          <w:sz w:val="32"/>
          <w:szCs w:val="32"/>
          <w:rtl/>
        </w:rPr>
        <w:t xml:space="preserve"> که مجتهد </w:t>
      </w:r>
      <w:proofErr w:type="spellStart"/>
      <w:r w:rsidR="00555B40"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 w:rsidR="00555B40">
        <w:rPr>
          <w:rFonts w:ascii="B Badr" w:hAnsi="B Badr" w:cs="B Badr" w:hint="cs"/>
          <w:sz w:val="32"/>
          <w:szCs w:val="32"/>
          <w:rtl/>
        </w:rPr>
        <w:t xml:space="preserve"> قدر </w:t>
      </w:r>
      <w:proofErr w:type="spellStart"/>
      <w:r w:rsidR="00555B40">
        <w:rPr>
          <w:rFonts w:ascii="B Badr" w:hAnsi="B Badr" w:cs="B Badr" w:hint="cs"/>
          <w:sz w:val="32"/>
          <w:szCs w:val="32"/>
          <w:rtl/>
        </w:rPr>
        <w:t>متيقن</w:t>
      </w:r>
      <w:proofErr w:type="spellEnd"/>
      <w:r w:rsidR="00555B40">
        <w:rPr>
          <w:rFonts w:ascii="B Badr" w:hAnsi="B Badr" w:cs="B Badr" w:hint="cs"/>
          <w:sz w:val="32"/>
          <w:szCs w:val="32"/>
          <w:rtl/>
        </w:rPr>
        <w:t xml:space="preserve"> باشد ، چون</w:t>
      </w:r>
      <w:r>
        <w:rPr>
          <w:rFonts w:ascii="B Badr" w:hAnsi="B Badr" w:cs="B Badr" w:hint="cs"/>
          <w:sz w:val="32"/>
          <w:szCs w:val="32"/>
          <w:rtl/>
        </w:rPr>
        <w:t xml:space="preserve"> مجتهد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انسدای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هرچند عالم به احکام واقعی مساله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اما با اعمال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خبرویت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وظیفه را در قبال احکام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واقعیه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حیث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التعذر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دست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همین مقدار کافی است که بتواند قضاوت کند و مثل مجتهد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تامین کننده غرض </w:t>
      </w:r>
      <w:r w:rsidR="00555B40">
        <w:rPr>
          <w:rFonts w:ascii="B Badr" w:hAnsi="B Badr" w:cs="B Badr" w:hint="cs"/>
          <w:sz w:val="32"/>
          <w:szCs w:val="32"/>
          <w:rtl/>
        </w:rPr>
        <w:t>(</w:t>
      </w:r>
      <w:r>
        <w:rPr>
          <w:rFonts w:ascii="B Badr" w:hAnsi="B Badr" w:cs="B Badr" w:hint="cs"/>
          <w:sz w:val="32"/>
          <w:szCs w:val="32"/>
          <w:rtl/>
        </w:rPr>
        <w:t>حفظ نظام</w:t>
      </w:r>
      <w:r w:rsidR="00555B40">
        <w:rPr>
          <w:rFonts w:ascii="B Badr" w:hAnsi="B Badr" w:cs="B Badr" w:hint="cs"/>
          <w:sz w:val="32"/>
          <w:szCs w:val="32"/>
          <w:rtl/>
        </w:rPr>
        <w:t xml:space="preserve">) </w:t>
      </w:r>
      <w:r>
        <w:rPr>
          <w:rFonts w:ascii="B Badr" w:hAnsi="B Badr" w:cs="B Badr" w:hint="cs"/>
          <w:sz w:val="32"/>
          <w:szCs w:val="32"/>
          <w:rtl/>
        </w:rPr>
        <w:t>باشد .</w:t>
      </w:r>
      <w:r w:rsidR="00726599">
        <w:rPr>
          <w:rFonts w:ascii="B Badr" w:hAnsi="B Badr" w:cs="B Badr" w:hint="cs"/>
          <w:sz w:val="32"/>
          <w:szCs w:val="32"/>
          <w:rtl/>
        </w:rPr>
        <w:t xml:space="preserve"> بنابر </w:t>
      </w:r>
      <w:proofErr w:type="spellStart"/>
      <w:r w:rsidR="00726599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726599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درست است که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بحث نفوذ قضاء قاضی منصوب، از راه دلیل ضرورت حفظ نظام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حسبه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پیش رفته اما اینطور نیست که بر اساس این دلیل در هر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خصوصیتی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شک کردیم،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اکتفاء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متیقن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کنیم بلکه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مانحن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خاطر علم به عدم اعتبار خصوصیت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مشکوکه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حکم به جواز قضاء قاضی انسدادی می کنیم. </w:t>
      </w:r>
    </w:p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اگر مدرک اعتبار اجتهاد ادله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لفظیه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فرموده است: در جایی که مجتهد انسدادی است نه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انفتاحی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دو وجه برای اشکال در نفوذ قضاء او وجود دارد. ایشان یک وجه را قبول می کند و در توضیح ان می فرماید: چنانکه در جواز تقلید از مجتهد انسدادی گفته شد که چون تقلید از مجتهد ، از باب رجوع جاهل به عالم است و مجتهد انسدادی عالم به مساله نیست،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 به او رجوع کرد، همین مشکل در اینجا وجود دارد . زیرا در روایت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عرف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احکامنا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و مجتهد انسدادی عارف به احکام نیست تا قضای او نافذ باشد . ایشان دو راه برای</w:t>
      </w:r>
      <w:r w:rsidR="00555B40">
        <w:rPr>
          <w:rFonts w:ascii="B Badr" w:hAnsi="B Badr" w:cs="B Badr" w:hint="cs"/>
          <w:sz w:val="32"/>
          <w:szCs w:val="32"/>
          <w:rtl/>
        </w:rPr>
        <w:t xml:space="preserve"> خلاصی از </w:t>
      </w:r>
      <w:proofErr w:type="spellStart"/>
      <w:r w:rsidR="00555B40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555B40">
        <w:rPr>
          <w:rFonts w:ascii="B Badr" w:hAnsi="B Badr" w:cs="B Badr" w:hint="cs"/>
          <w:sz w:val="32"/>
          <w:szCs w:val="32"/>
          <w:rtl/>
        </w:rPr>
        <w:t xml:space="preserve"> اشکال و</w:t>
      </w:r>
      <w:r>
        <w:rPr>
          <w:rFonts w:ascii="B Badr" w:hAnsi="B Badr" w:cs="B Badr" w:hint="cs"/>
          <w:sz w:val="32"/>
          <w:szCs w:val="32"/>
          <w:rtl/>
        </w:rPr>
        <w:t xml:space="preserve"> تجویز قضای مجتهد انسدادی بیان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اینده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مطرح خواهد شد. </w:t>
      </w:r>
    </w:p>
    <w:p w:rsidR="00A878EB" w:rsidRDefault="00A878EB" w:rsidP="00555B40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وجه دوم اشکال این است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اذا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بحکمنا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باید از او قبول کنید و اگر کسی حکم او را در این صورت رد کند، بر ما رد کرده که رد علی الله است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وهو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فی 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الشرک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</w:t>
      </w:r>
      <w:r w:rsidR="00555B40">
        <w:rPr>
          <w:rFonts w:ascii="B Badr" w:hAnsi="B Badr" w:cs="B Badr" w:hint="cs"/>
          <w:sz w:val="32"/>
          <w:szCs w:val="32"/>
          <w:rtl/>
        </w:rPr>
        <w:t>ب</w:t>
      </w:r>
      <w:r>
        <w:rPr>
          <w:rFonts w:ascii="B Badr" w:hAnsi="B Badr" w:cs="B Badr" w:hint="cs"/>
          <w:sz w:val="32"/>
          <w:szCs w:val="32"/>
          <w:rtl/>
        </w:rPr>
        <w:t xml:space="preserve">الله . مجتهد انسدادی که عالم به احکام نیست و لذا ان قضاوتی که می کند، قضاوت به حکم ائمه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علیهم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نخواهد بود. </w:t>
      </w:r>
    </w:p>
    <w:p w:rsidR="00A878EB" w:rsidRDefault="00A878EB" w:rsidP="00D65763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این وجه دوم جواب می دهد که درست است که اذا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بحکمنا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اما مقصود این است که اگر قاضی بر اساس قواعد و مطالب ما حکم کند ملزم به قبول ان هستید. اگر مجتهد حکم کند چون ائمه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علیهم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فقهاء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به عنوان قاضی منصوب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همین مقدار که منصوب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قِبل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الائمه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علیهم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هستند وقتی حکمی کنند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حکمشان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حکم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حساب می شود . بنابراین اینطور نیست که حتما </w:t>
      </w:r>
      <w:proofErr w:type="spellStart"/>
      <w:r w:rsidR="00555B40">
        <w:rPr>
          <w:rFonts w:ascii="B Badr" w:hAnsi="B Badr" w:cs="B Badr" w:hint="cs"/>
          <w:sz w:val="32"/>
          <w:szCs w:val="32"/>
          <w:rtl/>
        </w:rPr>
        <w:t>بايد</w:t>
      </w:r>
      <w:proofErr w:type="spellEnd"/>
      <w:r w:rsidR="00555B40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حکم ما را تطبیق کند بلکه باید بر اساس قواعد و معیارهای ما حکم کند. </w:t>
      </w:r>
    </w:p>
    <w:p w:rsidR="00A878EB" w:rsidRDefault="00A878EB" w:rsidP="00A878E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</w:p>
    <w:p w:rsidR="003956BE" w:rsidRDefault="003956BE"/>
    <w:sectPr w:rsidR="003956BE" w:rsidSect="003956BE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5C" w:rsidRDefault="00E2155C" w:rsidP="00A878EB">
      <w:pPr>
        <w:spacing w:after="0" w:line="240" w:lineRule="auto"/>
      </w:pPr>
      <w:r>
        <w:separator/>
      </w:r>
    </w:p>
  </w:endnote>
  <w:endnote w:type="continuationSeparator" w:id="0">
    <w:p w:rsidR="00E2155C" w:rsidRDefault="00E2155C" w:rsidP="00A8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5C" w:rsidRDefault="00E2155C" w:rsidP="00A878EB">
      <w:pPr>
        <w:spacing w:after="0" w:line="240" w:lineRule="auto"/>
      </w:pPr>
      <w:r>
        <w:separator/>
      </w:r>
    </w:p>
  </w:footnote>
  <w:footnote w:type="continuationSeparator" w:id="0">
    <w:p w:rsidR="00E2155C" w:rsidRDefault="00E2155C" w:rsidP="00A8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17398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599" w:rsidRDefault="007265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40" w:rsidRPr="00555B40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726599" w:rsidRDefault="007265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B"/>
    <w:rsid w:val="003956BE"/>
    <w:rsid w:val="00555B40"/>
    <w:rsid w:val="00726599"/>
    <w:rsid w:val="007D02CA"/>
    <w:rsid w:val="0084679C"/>
    <w:rsid w:val="00A878EB"/>
    <w:rsid w:val="00D65763"/>
    <w:rsid w:val="00E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E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78EB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878EB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78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726599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72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7265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E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78EB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878EB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78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726599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72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7265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mirdamadi</dc:creator>
  <cp:keywords/>
  <dc:description/>
  <cp:lastModifiedBy>سلام</cp:lastModifiedBy>
  <cp:revision>3</cp:revision>
  <dcterms:created xsi:type="dcterms:W3CDTF">2020-09-30T15:41:00Z</dcterms:created>
  <dcterms:modified xsi:type="dcterms:W3CDTF">2020-10-01T18:45:00Z</dcterms:modified>
</cp:coreProperties>
</file>