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شنبه 20 / 7/ 98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در تقریب مبنای سوم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واجبات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که متوسط</w:t>
      </w:r>
      <w:r w:rsidR="004A0E2B">
        <w:rPr>
          <w:rFonts w:ascii="B Badr" w:hAnsi="B Badr" w:cs="B Badr" w:hint="cs"/>
          <w:sz w:val="32"/>
          <w:szCs w:val="32"/>
          <w:rtl/>
        </w:rPr>
        <w:t xml:space="preserve"> </w:t>
      </w:r>
      <w:bookmarkStart w:id="0" w:name="_GoBack"/>
      <w:bookmarkEnd w:id="0"/>
      <w:proofErr w:type="spellStart"/>
      <w:r w:rsidR="004A0E2B">
        <w:rPr>
          <w:rFonts w:ascii="B Badr" w:hAnsi="B Badr" w:cs="B Badr" w:hint="cs"/>
          <w:sz w:val="32"/>
          <w:szCs w:val="32"/>
          <w:rtl/>
        </w:rPr>
        <w:t>بين</w:t>
      </w:r>
      <w:proofErr w:type="spellEnd"/>
      <w:r w:rsidR="004A0E2B">
        <w:rPr>
          <w:rFonts w:ascii="B Badr" w:hAnsi="B Badr" w:cs="B Badr" w:hint="cs"/>
          <w:sz w:val="32"/>
          <w:szCs w:val="32"/>
          <w:rtl/>
        </w:rPr>
        <w:t xml:space="preserve"> </w:t>
      </w:r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القولین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بود ، وجه سوم با دو بیانی که ذکر شد به لحاظ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کبروی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مواجه با اشکال نبود . لذا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الفرایض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السنن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اگرچه این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داخل در باب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تعاض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است اما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بر سنن مقدم می شوند .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دو مطلب دیگر از این تنبیه باید مطرح شود یکی اینکه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این وجوه سه گانه ای که برای اثبات جریان قواعد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واجبات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گفته شد در سعه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وضیق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یکسان هستند؟ مطلب دیگر تطبیق این تنبیه بر فروع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فقهیه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ای است که در کلمات مطرح شده است . </w:t>
      </w:r>
    </w:p>
    <w:p w:rsidR="00E856B8" w:rsidRPr="00314ABB" w:rsidRDefault="00314ABB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b/>
          <w:bCs/>
          <w:sz w:val="32"/>
          <w:szCs w:val="32"/>
          <w:rtl/>
        </w:rPr>
        <w:t>(</w:t>
      </w:r>
      <w:r w:rsidR="00E856B8" w:rsidRPr="00314ABB">
        <w:rPr>
          <w:rFonts w:ascii="B Badr" w:hAnsi="B Badr" w:cs="B Badr" w:hint="cs"/>
          <w:b/>
          <w:bCs/>
          <w:sz w:val="32"/>
          <w:szCs w:val="32"/>
          <w:rtl/>
        </w:rPr>
        <w:t>مطلب اول</w:t>
      </w:r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>)</w:t>
      </w:r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: با توجه به </w:t>
      </w:r>
      <w:proofErr w:type="spellStart"/>
      <w:r w:rsidR="00E856B8" w:rsidRPr="00314ABB">
        <w:rPr>
          <w:rFonts w:ascii="B Badr" w:hAnsi="B Badr" w:cs="B Badr" w:hint="cs"/>
          <w:sz w:val="32"/>
          <w:szCs w:val="32"/>
          <w:rtl/>
        </w:rPr>
        <w:t>تقریباتی</w:t>
      </w:r>
      <w:proofErr w:type="spellEnd"/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 که در وجوه </w:t>
      </w:r>
      <w:proofErr w:type="spellStart"/>
      <w:r w:rsidR="00E856B8" w:rsidRPr="00314ABB">
        <w:rPr>
          <w:rFonts w:ascii="B Badr" w:hAnsi="B Badr" w:cs="B Badr" w:hint="cs"/>
          <w:sz w:val="32"/>
          <w:szCs w:val="32"/>
          <w:rtl/>
        </w:rPr>
        <w:t>ثلاثه</w:t>
      </w:r>
      <w:proofErr w:type="spellEnd"/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 برای </w:t>
      </w:r>
      <w:proofErr w:type="spellStart"/>
      <w:r w:rsidR="00E856B8" w:rsidRPr="00314ABB">
        <w:rPr>
          <w:rFonts w:ascii="B Badr" w:hAnsi="B Badr" w:cs="B Badr" w:hint="cs"/>
          <w:sz w:val="32"/>
          <w:szCs w:val="32"/>
          <w:rtl/>
        </w:rPr>
        <w:t>اندارج</w:t>
      </w:r>
      <w:proofErr w:type="spellEnd"/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 مسایل </w:t>
      </w:r>
      <w:proofErr w:type="spellStart"/>
      <w:r w:rsidR="00E856B8" w:rsidRPr="00314ABB">
        <w:rPr>
          <w:rFonts w:ascii="B Badr" w:hAnsi="B Badr" w:cs="B Badr" w:hint="cs"/>
          <w:sz w:val="32"/>
          <w:szCs w:val="32"/>
          <w:rtl/>
        </w:rPr>
        <w:t>دورانیه</w:t>
      </w:r>
      <w:proofErr w:type="spellEnd"/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 در باب </w:t>
      </w:r>
      <w:proofErr w:type="spellStart"/>
      <w:r w:rsidR="00E856B8"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 گفته شده باید حدود جریان قواعد </w:t>
      </w:r>
      <w:proofErr w:type="spellStart"/>
      <w:r w:rsidR="00E856B8"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="00E856B8" w:rsidRPr="00314ABB">
        <w:rPr>
          <w:rFonts w:ascii="B Badr" w:hAnsi="B Badr" w:cs="B Badr" w:hint="cs"/>
          <w:sz w:val="32"/>
          <w:szCs w:val="32"/>
          <w:rtl/>
        </w:rPr>
        <w:t xml:space="preserve"> را بررسی کنیم :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وجه اول را اگر پذیرفتیم در همه موارد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در تکالیف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مثل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واجبات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نماز یا هر مرکبی که قاعده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میسور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در ان پیاده شود این وجه جاری می شود و باید قواعد باب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را در همه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پیاده کرد و تمام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مرجحاتی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که در باب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است در این تکالیف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پیاده می شود  . بنابراین وجه ، دایره جریان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باب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وسیع است .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وجه دوم که از بعض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الاعلام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نقل شده است اختصاص به جایی دارد که بین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و سنن یا بین خود سنن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باشد و صرفا در این موارد است که از قواعد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استفاده می شود اما در جایی که بین فریضه و </w:t>
      </w:r>
      <w:r w:rsidRPr="00314ABB">
        <w:rPr>
          <w:rFonts w:ascii="B Badr" w:hAnsi="B Badr" w:cs="B Badr" w:hint="cs"/>
          <w:sz w:val="32"/>
          <w:szCs w:val="32"/>
          <w:rtl/>
        </w:rPr>
        <w:lastRenderedPageBreak/>
        <w:t xml:space="preserve">فریضه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اخری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شود این وجه کاربرد ندارد . زیرا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تعدد امر و تعدد تکلیف فرض نشده است .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اما بنابر وجه سوم که مورد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را از باب تعارض می دانست اما قواعد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را جاری می کرد باید که مورد جریان این وجه کجاست .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این وجه از جهت سنخ اجزاء و شرایط، موردش فقط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اجزاء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و اجزاء غیر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است . هرچند ممکن است که رکن بودن را از جایی دیگر غیر از فریضه بودن ان استفاده کرده باشیم . به این معنا که ممکن است برای ان تعبیر به فریضه نشده باشد اما درعین حال به خاطر خصوصیاتی که دارد استفاده رکن بودن کرده باشیم . بنابراین در جایی که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دو رکن باشد یا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دو غیر رکن باشد این وجه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>.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اما از جهت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می شود همه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باب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را در این موارد پیاده کرد یا فقط ترجیح به اهمیت اعمال می شود . مورد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متیقن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ترجیح به اهمیت است اما ممکن است بگوییم که بعید نیست سایر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مثل سبق زمانی یا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مالا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بدل له یا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به قدرت عقلی نیز در این مورد جاری شود . مثلا اگر کسی ترجیح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مالا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بدل له را قبول کند همان نکته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که باعث اعمال این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در تکالیف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مستقله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بود در اینجا هم قابل تطبیق است . زیرا کسانی مثل مرحوم نایینی که این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را قبول کردند ، گفتند که اگر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النتافی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ما لا بدل له را مقدم کنیم و در تکلیفی که بدل دارد به بدل ان اکتفا کنیم هر دو ملاک را تحصیل کرده ایم اما اگر قدرت را صرف در ما له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البدل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کنیم دیگر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توانیم ملاک ما لا بدل له را تحصیل کنیم . اگر کسی این نکته را قبول کند در مثل این موارد هم این تقریب می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و چنانچه کسی بگوید که در ترجیح </w:t>
      </w:r>
      <w:r w:rsidRPr="00314ABB">
        <w:rPr>
          <w:rFonts w:ascii="B Badr" w:hAnsi="B Badr" w:cs="B Badr" w:hint="cs"/>
          <w:sz w:val="32"/>
          <w:szCs w:val="32"/>
          <w:rtl/>
        </w:rPr>
        <w:lastRenderedPageBreak/>
        <w:t xml:space="preserve">به ما لا بدل فرقی بین رکن و غیر رکن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باشد می تواند در قسمت قبل هم تعدی کند که حتی اگر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دو رکن یا بین دو سنت باشد این ترجیح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انجا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نیز اعمال می شود . همانطور که در موارد اهمیت ، به حکم عقل باید ملاک اهم را تحصیل کند در دوران بین دو ملاک و یک ملاک هم باید دو ملاک را تحصیل کند .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در سبق زمانی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تکلیفین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مستقلین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نکته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یا حکم عقلی ای که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انجا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اقتضای ترجیح داشت این بود که وقتی مکلف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تمکن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دارد از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تکلیف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متقدم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تواند به خاطر صرف قدرت در تکلیف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تکلیف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متقدم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را رها کند . اینکه امید دارد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اینده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تکلیف را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کند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مبرر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و موجه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نیست. وقتی عمل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اینده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ذاتا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در معرض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افات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باشد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تاخیر را تجویز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کنند . شاید این نکته در ما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نحن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فیه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نیاید . زیرا در بین تکالیف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فاصله زمانی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معتنابهی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وجود ندارد و تکلیف ضمنی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تاخر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زمانی قابل توجهی نسبت به تکلیف ضمنی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متقدم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ندارد و معلوم نیست این نکته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در چنین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نیز بیاید . قدر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متیقن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اگر فاصله زمانی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معتنا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به باشد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تاخیر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را تجویز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کنند اما در جایی که این فاصله زمانی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بسیار اندک باشد این حکم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معلوم نیست . 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در تقدیم تکلیف مشروط به قدرت عقلی بر مشروط به قدرت شرعی هم اگر قدرت شرعی ، به معنای قدرت دخیل در ملاک باشد و مقصود از ان قدرت تکوینی در مقابل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عجر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تکوینی باشد که معنای اول قدرت بود و ما با این وجود قائل شدیم که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تکلیفین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مستقلین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مشروط به قدرت عقلی بر مشروط به قدرت شرعی به این معنا مقدم می شود ، ممکن است </w:t>
      </w:r>
      <w:r w:rsidRPr="00314ABB">
        <w:rPr>
          <w:rFonts w:ascii="B Badr" w:hAnsi="B Badr" w:cs="B Badr" w:hint="cs"/>
          <w:sz w:val="32"/>
          <w:szCs w:val="32"/>
          <w:rtl/>
        </w:rPr>
        <w:lastRenderedPageBreak/>
        <w:t xml:space="preserve">گفته شود که همان تقریب در اینجا هم تطبیق می شود . زیرا فرمایش مرحوم نایینی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انجا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به این نکته بر می گشت که به لحاظ عالم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ملاکات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انجا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که از دست مکلف بر می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باید به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ملاکات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اهتمام داشته باشد . اگر امر مکلف دایر شود که هر دو ملاک را رعایت کند یا فقط یک ملاک را ، باید به حکم عقل تکلیفی را مقدم کند که رعایت کلا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الملاکین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شده باشد . اگر مکلف قدرتش را صرف در مشروط به قدرت شرعی کند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ملاکش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استیفاء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شده اما ملاک مشروط به قدرت عقلی که فعلیت نیز دارد فوت شده است اما اگر عکسش را عمل کند یعنی قدرتش را صرف در مشروط عقلی کند مثلا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ازاله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نجاست از مسجد را انجام بدهد ملاک ان را که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استیفاء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کرده است و نماز هم که قدرت دخیل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ملاکش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بود اصلا با صرف قدرت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ازاله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، ملاک فعلی برایش باقی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ماند که بخواهد فوت شود .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بنابراین اگر کسی تقدیم مشروط به قدرت عقلا بر مشروط به قدرت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شرعا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به معنای اول را قبول کرد در اینجا هم ممکن است بیاید . مثلا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وضوء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که مشروط است به قدرت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شرعا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اما تطهیر لباس مشروط عقلی است در اینجا هم باید همان تقریب را بیاوریم و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الدوران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تطهیر را مقدم کنیم . بر همین اساس ممکن است گفته شود که از نظر محل جریان ، وجه سوم همانطور که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رکن و غیر رکن و ما لا بدل و ما بدل له پیاده می شد در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بین مشروط به قدرت عقلی و شرعی هم جاری می شود .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اما اگر تقدیم مشروط به قدرت عقلی بر مشروط به قدرت شرعی را در بحث قبلی از باب ورود توجیه کردیم یعنی یکی از دو تکلیف موضوع </w:t>
      </w:r>
      <w:r w:rsidRPr="00314ABB">
        <w:rPr>
          <w:rFonts w:ascii="B Badr" w:hAnsi="B Badr" w:cs="B Badr" w:hint="cs"/>
          <w:sz w:val="32"/>
          <w:szCs w:val="32"/>
          <w:rtl/>
        </w:rPr>
        <w:lastRenderedPageBreak/>
        <w:t xml:space="preserve">تکلیف دیگر را بر دارد به این صورت که تکلیف وقتی متوجه مکلف می شود که ذمه او مشغول به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هیج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تکلیف دیگر نشده باشد ، اگر تقدیم را از این باب تصحیح کردیم دیگر از باب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خارج شده است بلکه از باب ورود است و وقتی ورود شد باید در هر مورد به دلیل نگاه کنیم که چه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قیودی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با چه سعه و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ضیقی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در موضوع ان اخذ شده است تا طبق ان دلیل دیگر بتواند مقدم شود. </w:t>
      </w:r>
    </w:p>
    <w:p w:rsidR="00E856B8" w:rsidRPr="00314ABB" w:rsidRDefault="00E856B8" w:rsidP="00314ABB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314ABB">
        <w:rPr>
          <w:rFonts w:ascii="B Badr" w:hAnsi="B Badr" w:cs="B Badr" w:hint="cs"/>
          <w:sz w:val="32"/>
          <w:szCs w:val="32"/>
          <w:rtl/>
        </w:rPr>
        <w:t xml:space="preserve">پس به لحاظ وجه سوم ولو در بدو امر به ذهن می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که اختصاص دارد به دوران رکن و غیر رکن و از نظر نوع </w:t>
      </w:r>
      <w:proofErr w:type="spellStart"/>
      <w:r w:rsidRPr="00314ABB">
        <w:rPr>
          <w:rFonts w:ascii="B Badr" w:hAnsi="B Badr" w:cs="B Badr" w:hint="cs"/>
          <w:sz w:val="32"/>
          <w:szCs w:val="32"/>
          <w:rtl/>
        </w:rPr>
        <w:t>مرجحات</w:t>
      </w:r>
      <w:proofErr w:type="spellEnd"/>
      <w:r w:rsidRPr="00314ABB">
        <w:rPr>
          <w:rFonts w:ascii="B Badr" w:hAnsi="B Badr" w:cs="B Badr" w:hint="cs"/>
          <w:sz w:val="32"/>
          <w:szCs w:val="32"/>
          <w:rtl/>
        </w:rPr>
        <w:t xml:space="preserve"> هم اختصاص دارد به ترجیح به اهمیت اما طبق توضیحی که داده شد موضوع و حکم ان توسعه دارد .  </w:t>
      </w:r>
    </w:p>
    <w:p w:rsidR="0028327F" w:rsidRPr="00314ABB" w:rsidRDefault="00D437C7" w:rsidP="00314ABB">
      <w:pPr>
        <w:jc w:val="highKashida"/>
        <w:rPr>
          <w:rFonts w:cs="B Badr"/>
          <w:sz w:val="32"/>
          <w:szCs w:val="32"/>
          <w:rtl/>
        </w:rPr>
      </w:pPr>
      <w:r w:rsidRPr="00314ABB">
        <w:rPr>
          <w:rFonts w:cs="B Badr" w:hint="cs"/>
          <w:sz w:val="32"/>
          <w:szCs w:val="32"/>
          <w:rtl/>
        </w:rPr>
        <w:t xml:space="preserve">  ان </w:t>
      </w:r>
      <w:proofErr w:type="spellStart"/>
      <w:r w:rsidRPr="00314ABB">
        <w:rPr>
          <w:rFonts w:cs="B Badr" w:hint="cs"/>
          <w:sz w:val="32"/>
          <w:szCs w:val="32"/>
          <w:rtl/>
        </w:rPr>
        <w:t>قلت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:</w:t>
      </w:r>
      <w:r w:rsidR="006110B8">
        <w:rPr>
          <w:rStyle w:val="aa"/>
          <w:rFonts w:cs="B Badr"/>
          <w:sz w:val="32"/>
          <w:szCs w:val="32"/>
          <w:rtl/>
        </w:rPr>
        <w:footnoteReference w:id="1"/>
      </w:r>
      <w:r w:rsidRPr="00314ABB">
        <w:rPr>
          <w:rFonts w:cs="B Badr" w:hint="cs"/>
          <w:sz w:val="32"/>
          <w:szCs w:val="32"/>
          <w:rtl/>
        </w:rPr>
        <w:t xml:space="preserve">لازمه </w:t>
      </w:r>
      <w:proofErr w:type="spellStart"/>
      <w:r w:rsidRPr="00314ABB">
        <w:rPr>
          <w:rFonts w:cs="B Badr" w:hint="cs"/>
          <w:sz w:val="32"/>
          <w:szCs w:val="32"/>
          <w:rtl/>
        </w:rPr>
        <w:t>جريان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ترجيح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Pr="00314ABB">
        <w:rPr>
          <w:rFonts w:cs="B Badr" w:hint="cs"/>
          <w:sz w:val="32"/>
          <w:szCs w:val="32"/>
          <w:rtl/>
        </w:rPr>
        <w:t>اهميت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وغير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آن </w:t>
      </w:r>
      <w:proofErr w:type="spellStart"/>
      <w:r w:rsidRPr="00314ABB">
        <w:rPr>
          <w:rFonts w:cs="B Badr" w:hint="cs"/>
          <w:sz w:val="32"/>
          <w:szCs w:val="32"/>
          <w:rtl/>
        </w:rPr>
        <w:t>ازمرجحات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درتنافی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بين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تکاليف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ضمنيه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با اعتراف به </w:t>
      </w:r>
      <w:proofErr w:type="spellStart"/>
      <w:r w:rsidRPr="00314ABB">
        <w:rPr>
          <w:rFonts w:cs="B Badr" w:hint="cs"/>
          <w:sz w:val="32"/>
          <w:szCs w:val="32"/>
          <w:rtl/>
        </w:rPr>
        <w:t>اينکه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اين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موارد </w:t>
      </w:r>
      <w:proofErr w:type="spellStart"/>
      <w:r w:rsidRPr="00314ABB">
        <w:rPr>
          <w:rFonts w:cs="B Badr" w:hint="cs"/>
          <w:sz w:val="32"/>
          <w:szCs w:val="32"/>
          <w:rtl/>
        </w:rPr>
        <w:t>حقيقتاً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داخل درباب تعارض هستند</w:t>
      </w:r>
      <w:r w:rsidR="00A57D4F" w:rsidRPr="00314ABB">
        <w:rPr>
          <w:rFonts w:cs="B Badr" w:hint="cs"/>
          <w:sz w:val="32"/>
          <w:szCs w:val="32"/>
          <w:rtl/>
        </w:rPr>
        <w:t xml:space="preserve"> </w:t>
      </w:r>
      <w:r w:rsidR="00A57D4F" w:rsidRPr="00314ABB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A57D4F" w:rsidRPr="00314ABB">
        <w:rPr>
          <w:rFonts w:cs="B Badr" w:hint="cs"/>
          <w:sz w:val="32"/>
          <w:szCs w:val="32"/>
          <w:rtl/>
        </w:rPr>
        <w:t xml:space="preserve">کما این که حاصل وجه سوم است- </w:t>
      </w:r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اين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است که </w:t>
      </w:r>
      <w:proofErr w:type="spellStart"/>
      <w:r w:rsidRPr="00314ABB">
        <w:rPr>
          <w:rFonts w:cs="B Badr" w:hint="cs"/>
          <w:sz w:val="32"/>
          <w:szCs w:val="32"/>
          <w:rtl/>
        </w:rPr>
        <w:t>درسائر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موارد تعارض هم </w:t>
      </w:r>
      <w:proofErr w:type="spellStart"/>
      <w:r w:rsidRPr="00314ABB">
        <w:rPr>
          <w:rFonts w:cs="B Badr" w:hint="cs"/>
          <w:sz w:val="32"/>
          <w:szCs w:val="32"/>
          <w:rtl/>
        </w:rPr>
        <w:t>اين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مرجحات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را اعمال </w:t>
      </w:r>
      <w:proofErr w:type="spellStart"/>
      <w:r w:rsidRPr="00314ABB">
        <w:rPr>
          <w:rFonts w:cs="B Badr" w:hint="cs"/>
          <w:sz w:val="32"/>
          <w:szCs w:val="32"/>
          <w:rtl/>
        </w:rPr>
        <w:t>کنيد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مثل تعارض </w:t>
      </w:r>
      <w:proofErr w:type="spellStart"/>
      <w:r w:rsidRPr="00314ABB">
        <w:rPr>
          <w:rFonts w:cs="B Badr" w:hint="cs"/>
          <w:sz w:val="32"/>
          <w:szCs w:val="32"/>
          <w:rtl/>
        </w:rPr>
        <w:t>دليل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دال </w:t>
      </w:r>
      <w:proofErr w:type="spellStart"/>
      <w:r w:rsidRPr="00314ABB">
        <w:rPr>
          <w:rFonts w:cs="B Badr" w:hint="cs"/>
          <w:sz w:val="32"/>
          <w:szCs w:val="32"/>
          <w:rtl/>
        </w:rPr>
        <w:t>بروجوب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ضعيف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با </w:t>
      </w:r>
      <w:proofErr w:type="spellStart"/>
      <w:r w:rsidRPr="00314ABB">
        <w:rPr>
          <w:rFonts w:cs="B Badr" w:hint="cs"/>
          <w:sz w:val="32"/>
          <w:szCs w:val="32"/>
          <w:rtl/>
        </w:rPr>
        <w:t>دليل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دال </w:t>
      </w:r>
      <w:proofErr w:type="spellStart"/>
      <w:r w:rsidRPr="00314ABB">
        <w:rPr>
          <w:rFonts w:cs="B Badr" w:hint="cs"/>
          <w:sz w:val="32"/>
          <w:szCs w:val="32"/>
          <w:rtl/>
        </w:rPr>
        <w:t>بروجوب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شديد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ِ </w:t>
      </w:r>
      <w:proofErr w:type="spellStart"/>
      <w:r w:rsidRPr="00314ABB">
        <w:rPr>
          <w:rFonts w:cs="B Badr" w:hint="cs"/>
          <w:sz w:val="32"/>
          <w:szCs w:val="32"/>
          <w:rtl/>
        </w:rPr>
        <w:t>يا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تعارض </w:t>
      </w:r>
      <w:proofErr w:type="spellStart"/>
      <w:r w:rsidRPr="00314ABB">
        <w:rPr>
          <w:rFonts w:cs="B Badr" w:hint="cs"/>
          <w:sz w:val="32"/>
          <w:szCs w:val="32"/>
          <w:rtl/>
        </w:rPr>
        <w:t>بين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دليل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دال </w:t>
      </w:r>
      <w:proofErr w:type="spellStart"/>
      <w:r w:rsidRPr="00314ABB">
        <w:rPr>
          <w:rFonts w:cs="B Badr" w:hint="cs"/>
          <w:sz w:val="32"/>
          <w:szCs w:val="32"/>
          <w:rtl/>
        </w:rPr>
        <w:t>بروجوب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امری با </w:t>
      </w:r>
      <w:proofErr w:type="spellStart"/>
      <w:r w:rsidRPr="00314ABB">
        <w:rPr>
          <w:rFonts w:cs="B Badr" w:hint="cs"/>
          <w:sz w:val="32"/>
          <w:szCs w:val="32"/>
          <w:rtl/>
        </w:rPr>
        <w:t>دليل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دال بر </w:t>
      </w:r>
      <w:proofErr w:type="spellStart"/>
      <w:r w:rsidRPr="00314ABB">
        <w:rPr>
          <w:rFonts w:cs="B Badr" w:hint="cs"/>
          <w:sz w:val="32"/>
          <w:szCs w:val="32"/>
          <w:rtl/>
        </w:rPr>
        <w:t>استحباب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آن ، </w:t>
      </w:r>
      <w:proofErr w:type="spellStart"/>
      <w:r w:rsidRPr="00314ABB">
        <w:rPr>
          <w:rFonts w:cs="B Badr" w:hint="cs"/>
          <w:sz w:val="32"/>
          <w:szCs w:val="32"/>
          <w:rtl/>
        </w:rPr>
        <w:t>وحال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آنکه </w:t>
      </w:r>
      <w:proofErr w:type="spellStart"/>
      <w:r w:rsidRPr="00314ABB">
        <w:rPr>
          <w:rFonts w:cs="B Badr" w:hint="cs"/>
          <w:sz w:val="32"/>
          <w:szCs w:val="32"/>
          <w:rtl/>
        </w:rPr>
        <w:t>دربقيه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موارد تعارض کسی به </w:t>
      </w:r>
      <w:proofErr w:type="spellStart"/>
      <w:r w:rsidRPr="00314ABB">
        <w:rPr>
          <w:rFonts w:cs="B Badr" w:hint="cs"/>
          <w:sz w:val="32"/>
          <w:szCs w:val="32"/>
          <w:rtl/>
        </w:rPr>
        <w:t>اين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مطلب </w:t>
      </w:r>
      <w:proofErr w:type="spellStart"/>
      <w:r w:rsidRPr="00314ABB">
        <w:rPr>
          <w:rFonts w:cs="B Badr" w:hint="cs"/>
          <w:sz w:val="32"/>
          <w:szCs w:val="32"/>
          <w:rtl/>
        </w:rPr>
        <w:t>ملتزم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نمی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شود </w:t>
      </w:r>
    </w:p>
    <w:p w:rsidR="00D437C7" w:rsidRPr="00314ABB" w:rsidRDefault="00D437C7" w:rsidP="006110B8">
      <w:pPr>
        <w:jc w:val="highKashida"/>
        <w:rPr>
          <w:rFonts w:cs="B Badr"/>
          <w:sz w:val="32"/>
          <w:szCs w:val="32"/>
        </w:rPr>
      </w:pPr>
      <w:proofErr w:type="spellStart"/>
      <w:r w:rsidRPr="00314ABB">
        <w:rPr>
          <w:rFonts w:cs="B Badr" w:hint="cs"/>
          <w:sz w:val="32"/>
          <w:szCs w:val="32"/>
          <w:rtl/>
        </w:rPr>
        <w:t>قلت:جواب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اين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اشکال </w:t>
      </w:r>
      <w:proofErr w:type="spellStart"/>
      <w:r w:rsidRPr="00314ABB">
        <w:rPr>
          <w:rFonts w:cs="B Badr" w:hint="cs"/>
          <w:sz w:val="32"/>
          <w:szCs w:val="32"/>
          <w:rtl/>
        </w:rPr>
        <w:t>اين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است که </w:t>
      </w:r>
      <w:proofErr w:type="spellStart"/>
      <w:r w:rsidRPr="00314ABB">
        <w:rPr>
          <w:rFonts w:cs="B Badr" w:hint="cs"/>
          <w:sz w:val="32"/>
          <w:szCs w:val="32"/>
          <w:rtl/>
        </w:rPr>
        <w:t>دربقيه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مواردتعارض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ترجيح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Pr="00314ABB">
        <w:rPr>
          <w:rFonts w:cs="B Badr" w:hint="cs"/>
          <w:sz w:val="32"/>
          <w:szCs w:val="32"/>
          <w:rtl/>
        </w:rPr>
        <w:t>اهميت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ومثل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آن اعمال </w:t>
      </w:r>
      <w:proofErr w:type="spellStart"/>
      <w:r w:rsidRPr="00314ABB">
        <w:rPr>
          <w:rFonts w:cs="B Badr" w:hint="cs"/>
          <w:sz w:val="32"/>
          <w:szCs w:val="32"/>
          <w:rtl/>
        </w:rPr>
        <w:t>نمی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شود چون </w:t>
      </w:r>
      <w:proofErr w:type="spellStart"/>
      <w:r w:rsidRPr="00314ABB">
        <w:rPr>
          <w:rFonts w:cs="B Badr" w:hint="cs"/>
          <w:sz w:val="32"/>
          <w:szCs w:val="32"/>
          <w:rtl/>
        </w:rPr>
        <w:t>اين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314ABB">
        <w:rPr>
          <w:rFonts w:cs="B Badr" w:hint="cs"/>
          <w:sz w:val="32"/>
          <w:szCs w:val="32"/>
          <w:rtl/>
        </w:rPr>
        <w:t>ترجيحات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مال جايی است که </w:t>
      </w:r>
      <w:proofErr w:type="spellStart"/>
      <w:r w:rsidRPr="00314ABB">
        <w:rPr>
          <w:rFonts w:cs="B Badr" w:hint="cs"/>
          <w:sz w:val="32"/>
          <w:szCs w:val="32"/>
          <w:rtl/>
        </w:rPr>
        <w:t>دوملاک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فعلی وجود داشته باشد که </w:t>
      </w:r>
      <w:proofErr w:type="spellStart"/>
      <w:r w:rsidRPr="00314ABB">
        <w:rPr>
          <w:rFonts w:cs="B Badr" w:hint="cs"/>
          <w:sz w:val="32"/>
          <w:szCs w:val="32"/>
          <w:rtl/>
        </w:rPr>
        <w:t>يکی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نسبت به </w:t>
      </w:r>
      <w:proofErr w:type="spellStart"/>
      <w:r w:rsidRPr="00314ABB">
        <w:rPr>
          <w:rFonts w:cs="B Badr" w:hint="cs"/>
          <w:sz w:val="32"/>
          <w:szCs w:val="32"/>
          <w:rtl/>
        </w:rPr>
        <w:t>ديگری</w:t>
      </w:r>
      <w:proofErr w:type="spellEnd"/>
      <w:r w:rsidRPr="00314ABB">
        <w:rPr>
          <w:rFonts w:cs="B Badr" w:hint="cs"/>
          <w:sz w:val="32"/>
          <w:szCs w:val="32"/>
          <w:rtl/>
        </w:rPr>
        <w:t xml:space="preserve"> اهم باشد </w:t>
      </w:r>
      <w:r w:rsidR="00A57D4F" w:rsidRPr="00314ABB">
        <w:rPr>
          <w:rFonts w:cs="B Badr" w:hint="cs"/>
          <w:sz w:val="32"/>
          <w:szCs w:val="32"/>
          <w:rtl/>
        </w:rPr>
        <w:t xml:space="preserve">اما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درجايی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که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يک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ملاک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lastRenderedPageBreak/>
        <w:t>بيشتروجود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ندارد و مردد است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بين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اين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که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اقوی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باشد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يا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اضعف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اين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ترجيحات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ثابت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نيست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تعبير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مرحوم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نائينی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کون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الملاک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تقديرثبوته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اشد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واقوی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-بدون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اين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که ثبوت آن احراز شده باشد- که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ازمرجحات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نيست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، اما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درتکاليف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ضمنيه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فرض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اين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است که به حسب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ارتکاز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عرفی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هردو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طرف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دخيل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درملاک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هستند ولی دخل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يکی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بيشتر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ودخل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ديگری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کمتر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درچنين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فرضی شرط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جريان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ترجيح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اهميت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ومثل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آن موجود است ، علاوه بر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اينکه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وجه سوم اگر براساس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تقريب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</w:t>
      </w:r>
      <w:r w:rsidR="006110B8">
        <w:rPr>
          <w:rFonts w:cs="B Badr" w:hint="cs"/>
          <w:sz w:val="32"/>
          <w:szCs w:val="32"/>
          <w:rtl/>
        </w:rPr>
        <w:t>ا</w:t>
      </w:r>
      <w:r w:rsidR="00A57D4F" w:rsidRPr="00314ABB">
        <w:rPr>
          <w:rFonts w:cs="B Badr" w:hint="cs"/>
          <w:sz w:val="32"/>
          <w:szCs w:val="32"/>
          <w:rtl/>
        </w:rPr>
        <w:t>و</w:t>
      </w:r>
      <w:r w:rsidR="006110B8">
        <w:rPr>
          <w:rFonts w:cs="B Badr" w:hint="cs"/>
          <w:sz w:val="32"/>
          <w:szCs w:val="32"/>
          <w:rtl/>
        </w:rPr>
        <w:t>ل</w:t>
      </w:r>
      <w:r w:rsidR="00A57D4F" w:rsidRPr="00314AB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توجيه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شود</w:t>
      </w:r>
      <w:r w:rsidR="006110B8">
        <w:rPr>
          <w:rFonts w:cs="B Badr" w:hint="cs"/>
          <w:sz w:val="32"/>
          <w:szCs w:val="32"/>
          <w:rtl/>
        </w:rPr>
        <w:t xml:space="preserve"> (که استناد به </w:t>
      </w:r>
      <w:proofErr w:type="spellStart"/>
      <w:r w:rsidR="006110B8">
        <w:rPr>
          <w:rFonts w:cs="B Badr" w:hint="cs"/>
          <w:sz w:val="32"/>
          <w:szCs w:val="32"/>
          <w:rtl/>
        </w:rPr>
        <w:t>نص</w:t>
      </w:r>
      <w:proofErr w:type="spellEnd"/>
      <w:r w:rsidR="006110B8">
        <w:rPr>
          <w:rFonts w:cs="B Badr" w:hint="cs"/>
          <w:sz w:val="32"/>
          <w:szCs w:val="32"/>
          <w:rtl/>
        </w:rPr>
        <w:t xml:space="preserve"> بود)، </w:t>
      </w:r>
      <w:r w:rsidR="00A57D4F" w:rsidRPr="00314ABB">
        <w:rPr>
          <w:rFonts w:cs="B Badr" w:hint="cs"/>
          <w:sz w:val="32"/>
          <w:szCs w:val="32"/>
          <w:rtl/>
        </w:rPr>
        <w:t xml:space="preserve"> نقض به </w:t>
      </w:r>
      <w:proofErr w:type="spellStart"/>
      <w:r w:rsidR="00A57D4F" w:rsidRPr="00314ABB">
        <w:rPr>
          <w:rFonts w:cs="B Badr" w:hint="cs"/>
          <w:sz w:val="32"/>
          <w:szCs w:val="32"/>
          <w:rtl/>
        </w:rPr>
        <w:t>سائر</w:t>
      </w:r>
      <w:proofErr w:type="spellEnd"/>
      <w:r w:rsidR="00A57D4F" w:rsidRPr="00314ABB">
        <w:rPr>
          <w:rFonts w:cs="B Badr" w:hint="cs"/>
          <w:sz w:val="32"/>
          <w:szCs w:val="32"/>
          <w:rtl/>
        </w:rPr>
        <w:t xml:space="preserve"> موارد تعارض نسبت به آن مجال ندارد.   </w:t>
      </w:r>
      <w:r w:rsidRPr="00314ABB">
        <w:rPr>
          <w:rFonts w:cs="B Badr" w:hint="cs"/>
          <w:sz w:val="32"/>
          <w:szCs w:val="32"/>
          <w:rtl/>
        </w:rPr>
        <w:t xml:space="preserve"> </w:t>
      </w:r>
    </w:p>
    <w:sectPr w:rsidR="00D437C7" w:rsidRPr="00314ABB" w:rsidSect="00552B91">
      <w:headerReference w:type="default" r:id="rId7"/>
      <w:pgSz w:w="11906" w:h="16838"/>
      <w:pgMar w:top="1440" w:right="128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94" w:rsidRDefault="00536894" w:rsidP="00A57D4F">
      <w:pPr>
        <w:spacing w:after="0" w:line="240" w:lineRule="auto"/>
      </w:pPr>
      <w:r>
        <w:separator/>
      </w:r>
    </w:p>
  </w:endnote>
  <w:endnote w:type="continuationSeparator" w:id="0">
    <w:p w:rsidR="00536894" w:rsidRDefault="00536894" w:rsidP="00A5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94" w:rsidRDefault="00536894" w:rsidP="00A57D4F">
      <w:pPr>
        <w:spacing w:after="0" w:line="240" w:lineRule="auto"/>
      </w:pPr>
      <w:r>
        <w:separator/>
      </w:r>
    </w:p>
  </w:footnote>
  <w:footnote w:type="continuationSeparator" w:id="0">
    <w:p w:rsidR="00536894" w:rsidRDefault="00536894" w:rsidP="00A57D4F">
      <w:pPr>
        <w:spacing w:after="0" w:line="240" w:lineRule="auto"/>
      </w:pPr>
      <w:r>
        <w:continuationSeparator/>
      </w:r>
    </w:p>
  </w:footnote>
  <w:footnote w:id="1">
    <w:p w:rsidR="006110B8" w:rsidRPr="006110B8" w:rsidRDefault="006110B8">
      <w:pPr>
        <w:pStyle w:val="a8"/>
        <w:rPr>
          <w:rFonts w:cs="B Badr"/>
        </w:rPr>
      </w:pPr>
      <w:r w:rsidRPr="006110B8">
        <w:rPr>
          <w:rStyle w:val="aa"/>
          <w:rFonts w:cs="B Badr"/>
        </w:rPr>
        <w:footnoteRef/>
      </w:r>
      <w:r w:rsidRPr="006110B8">
        <w:rPr>
          <w:rFonts w:cs="B Badr"/>
          <w:rtl/>
        </w:rPr>
        <w:t xml:space="preserve"> </w:t>
      </w:r>
      <w:r w:rsidRPr="006110B8">
        <w:rPr>
          <w:rFonts w:cs="B Badr" w:hint="cs"/>
          <w:rtl/>
        </w:rPr>
        <w:t xml:space="preserve">-سؤال </w:t>
      </w:r>
      <w:proofErr w:type="spellStart"/>
      <w:r w:rsidRPr="006110B8">
        <w:rPr>
          <w:rFonts w:cs="B Badr" w:hint="cs"/>
          <w:rtl/>
        </w:rPr>
        <w:t>وجواب</w:t>
      </w:r>
      <w:proofErr w:type="spellEnd"/>
      <w:r w:rsidRPr="006110B8">
        <w:rPr>
          <w:rFonts w:cs="B Badr" w:hint="cs"/>
          <w:rtl/>
        </w:rPr>
        <w:t xml:space="preserve"> بعد </w:t>
      </w:r>
      <w:proofErr w:type="spellStart"/>
      <w:r w:rsidRPr="006110B8">
        <w:rPr>
          <w:rFonts w:cs="B Badr" w:hint="cs"/>
          <w:rtl/>
        </w:rPr>
        <w:t>ازدرس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161359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D4F" w:rsidRDefault="00A57D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2B" w:rsidRPr="004A0E2B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A57D4F" w:rsidRDefault="00A57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8"/>
    <w:rsid w:val="0016417B"/>
    <w:rsid w:val="001E3550"/>
    <w:rsid w:val="00314ABB"/>
    <w:rsid w:val="004A0E2B"/>
    <w:rsid w:val="00536894"/>
    <w:rsid w:val="00600219"/>
    <w:rsid w:val="006110B8"/>
    <w:rsid w:val="00A57D4F"/>
    <w:rsid w:val="00AB4B83"/>
    <w:rsid w:val="00B2783B"/>
    <w:rsid w:val="00D437C7"/>
    <w:rsid w:val="00D73C35"/>
    <w:rsid w:val="00E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6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A57D4F"/>
  </w:style>
  <w:style w:type="paragraph" w:styleId="a6">
    <w:name w:val="footer"/>
    <w:basedOn w:val="a"/>
    <w:link w:val="a7"/>
    <w:uiPriority w:val="99"/>
    <w:unhideWhenUsed/>
    <w:rsid w:val="00A5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A57D4F"/>
  </w:style>
  <w:style w:type="paragraph" w:styleId="a8">
    <w:name w:val="footnote text"/>
    <w:basedOn w:val="a"/>
    <w:link w:val="a9"/>
    <w:uiPriority w:val="99"/>
    <w:semiHidden/>
    <w:unhideWhenUsed/>
    <w:rsid w:val="006110B8"/>
    <w:pPr>
      <w:spacing w:after="0" w:line="240" w:lineRule="auto"/>
    </w:pPr>
    <w:rPr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6110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6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A57D4F"/>
  </w:style>
  <w:style w:type="paragraph" w:styleId="a6">
    <w:name w:val="footer"/>
    <w:basedOn w:val="a"/>
    <w:link w:val="a7"/>
    <w:uiPriority w:val="99"/>
    <w:unhideWhenUsed/>
    <w:rsid w:val="00A5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A57D4F"/>
  </w:style>
  <w:style w:type="paragraph" w:styleId="a8">
    <w:name w:val="footnote text"/>
    <w:basedOn w:val="a"/>
    <w:link w:val="a9"/>
    <w:uiPriority w:val="99"/>
    <w:semiHidden/>
    <w:unhideWhenUsed/>
    <w:rsid w:val="006110B8"/>
    <w:pPr>
      <w:spacing w:after="0" w:line="240" w:lineRule="auto"/>
    </w:pPr>
    <w:rPr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6110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1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</dc:creator>
  <cp:lastModifiedBy>سلام</cp:lastModifiedBy>
  <cp:revision>6</cp:revision>
  <cp:lastPrinted>2019-10-15T05:05:00Z</cp:lastPrinted>
  <dcterms:created xsi:type="dcterms:W3CDTF">2019-10-12T18:35:00Z</dcterms:created>
  <dcterms:modified xsi:type="dcterms:W3CDTF">2019-10-15T05:05:00Z</dcterms:modified>
</cp:coreProperties>
</file>