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48" w:rsidRDefault="002A1948" w:rsidP="002A1948">
      <w:pPr>
        <w:jc w:val="highKashida"/>
        <w:rPr>
          <w:rFonts w:cs="Taher"/>
          <w:color w:val="000000" w:themeColor="text1"/>
          <w:sz w:val="32"/>
          <w:szCs w:val="32"/>
          <w:rtl/>
        </w:rPr>
      </w:pP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تقريرات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صلاة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جلسه10</w:t>
      </w:r>
      <w:r>
        <w:rPr>
          <w:rFonts w:cs="Taher" w:hint="cs"/>
          <w:color w:val="000000" w:themeColor="text1"/>
          <w:sz w:val="32"/>
          <w:szCs w:val="32"/>
          <w:rtl/>
        </w:rPr>
        <w:t xml:space="preserve">                                                       </w:t>
      </w:r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</w:p>
    <w:p w:rsidR="002A1948" w:rsidRPr="00FD52EC" w:rsidRDefault="002A1948" w:rsidP="002A1948">
      <w:pPr>
        <w:jc w:val="highKashida"/>
        <w:rPr>
          <w:rFonts w:cs="Taher"/>
          <w:color w:val="000000" w:themeColor="text1"/>
          <w:sz w:val="32"/>
          <w:szCs w:val="32"/>
        </w:rPr>
      </w:pPr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                       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بسم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الله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الرحمن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الرحيم</w:t>
      </w:r>
      <w:proofErr w:type="spellEnd"/>
      <w:r>
        <w:rPr>
          <w:rFonts w:cs="Taher" w:hint="cs"/>
          <w:color w:val="000000" w:themeColor="text1"/>
          <w:sz w:val="32"/>
          <w:szCs w:val="32"/>
          <w:rtl/>
        </w:rPr>
        <w:t xml:space="preserve">                                                        </w:t>
      </w:r>
      <w:r w:rsidRPr="00FD52EC">
        <w:rPr>
          <w:rFonts w:cs="Taher"/>
          <w:color w:val="000000" w:themeColor="text1"/>
          <w:sz w:val="32"/>
          <w:szCs w:val="32"/>
        </w:rPr>
        <w:t xml:space="preserve">  </w:t>
      </w:r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</w:p>
    <w:p w:rsidR="002A1948" w:rsidRPr="00FD52EC" w:rsidRDefault="002A1948" w:rsidP="002A1948">
      <w:pPr>
        <w:jc w:val="highKashida"/>
        <w:rPr>
          <w:rFonts w:cs="Taher"/>
          <w:color w:val="000000" w:themeColor="text1"/>
          <w:sz w:val="32"/>
          <w:szCs w:val="32"/>
        </w:rPr>
      </w:pP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الحمد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لله رب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العالمين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وصلّی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الله علی محمد واله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الطاهرين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ولعنة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الله علی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اعدائهم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اجمعين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r>
        <w:rPr>
          <w:rFonts w:cs="Taher" w:hint="cs"/>
          <w:color w:val="000000" w:themeColor="text1"/>
          <w:sz w:val="32"/>
          <w:szCs w:val="32"/>
          <w:rtl/>
        </w:rPr>
        <w:t xml:space="preserve">                                                                    </w:t>
      </w:r>
    </w:p>
    <w:p w:rsidR="002A1948" w:rsidRPr="00FD52EC" w:rsidRDefault="002A1948" w:rsidP="002A1948">
      <w:pPr>
        <w:jc w:val="highKashida"/>
        <w:rPr>
          <w:rFonts w:cs="Taher"/>
          <w:color w:val="000000" w:themeColor="text1"/>
          <w:sz w:val="32"/>
          <w:szCs w:val="32"/>
        </w:rPr>
      </w:pP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انتهی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الکلام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فی قضاء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صلاة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الوالدين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الی ان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القاضی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عنهما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 او عن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الاب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هل هو 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الولد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الاکبر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او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يقضی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عنهما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اولی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الناس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بميراثه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الذکور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يختلف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الحال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فی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هذا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باختلاف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طبقات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الارث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ربما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ينطبق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علی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الولد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الاکبر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تارة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علی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غيره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الذکور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.</w:t>
      </w:r>
      <w:r>
        <w:rPr>
          <w:rFonts w:cs="Taher" w:hint="cs"/>
          <w:color w:val="000000" w:themeColor="text1"/>
          <w:sz w:val="32"/>
          <w:szCs w:val="32"/>
          <w:rtl/>
        </w:rPr>
        <w:t xml:space="preserve">                                                                                                                   </w:t>
      </w:r>
    </w:p>
    <w:p w:rsidR="002A1948" w:rsidRDefault="002A1948" w:rsidP="002A1948">
      <w:pPr>
        <w:jc w:val="highKashida"/>
        <w:rPr>
          <w:rFonts w:cs="Taher"/>
          <w:color w:val="000000" w:themeColor="text1"/>
          <w:sz w:val="32"/>
          <w:szCs w:val="32"/>
          <w:rtl/>
        </w:rPr>
      </w:pP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والمنشأ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الاساسی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لهذا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الاختلاف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فی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المستفاد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رواية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حفص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بن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البختری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حيث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قال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الامام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عليه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السلام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يقضی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عنه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اولی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الناس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بميراثه</w:t>
      </w:r>
      <w:proofErr w:type="spellEnd"/>
      <w:r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والخلاف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هنا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فی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تعيين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مصداق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هذا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العنوان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فان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القائل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بانطباق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هذا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العنوان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علی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الولد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الاکبرتعيينا</w:t>
      </w:r>
      <w:r>
        <w:rPr>
          <w:rFonts w:cs="Taher" w:hint="cs"/>
          <w:color w:val="000000" w:themeColor="text1"/>
          <w:sz w:val="32"/>
          <w:szCs w:val="32"/>
          <w:rtl/>
        </w:rPr>
        <w:t>ً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مثل صاحب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الجواهر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ره (و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نسبه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المشهور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)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يقول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بان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هذا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العنوان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مشيرالی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فرد واحد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وليس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ينطبق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الا علی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الولد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الاکبر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فليس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له انطباقات علی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الطبقات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الوارثة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لان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الولد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الاکبر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اولی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بميراثه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 علی نحو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الاطلاق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بالاولوية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التعيينية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 وان کان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الأب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فی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طبقته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لکن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لمکان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اولوية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الولد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الاکبر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بالارث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الموجودين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المعدومين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فی غالب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موارده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بملاحظة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اختصاص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الحبوة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به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يکون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العنوان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منطبقاً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عليه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بخصوصه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.</w:t>
      </w:r>
      <w:r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ولايخفی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اختيار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هذا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القول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فی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المراد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رواية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حفص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يبتنی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علی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الالتزام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بامرين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الاول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کون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المتفاهم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العرفی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من عنوان اولی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الناس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بميراثه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هو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الولد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الاکبر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الثانی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عدم وجود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القرينة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فی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هذه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الرواية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سائر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الروايات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علی خلاف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المختار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.</w:t>
      </w:r>
      <w:r>
        <w:rPr>
          <w:rFonts w:cs="Taher" w:hint="cs"/>
          <w:color w:val="000000" w:themeColor="text1"/>
          <w:sz w:val="32"/>
          <w:szCs w:val="32"/>
          <w:rtl/>
        </w:rPr>
        <w:t xml:space="preserve"> </w:t>
      </w:r>
    </w:p>
    <w:p w:rsidR="002541BA" w:rsidRDefault="002A1948" w:rsidP="002541BA">
      <w:pPr>
        <w:jc w:val="highKashida"/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</w:pP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lastRenderedPageBreak/>
        <w:t>فالذی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يقع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البحث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فيه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هنا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هذان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الامران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: فی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المتفاهم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العرفی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من عنوان اولی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الناس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بميراثه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وفی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قيام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القرينة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علی خلاف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تعين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العنوان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فی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الولد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الاکبر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حتی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يرفع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بها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اليد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عن ذلک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الاستظهار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الاوّلي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الرواية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.</w:t>
      </w:r>
      <w:r>
        <w:rPr>
          <w:rFonts w:cs="Taher" w:hint="cs"/>
          <w:color w:val="000000" w:themeColor="text1"/>
          <w:sz w:val="32"/>
          <w:szCs w:val="32"/>
          <w:rtl/>
        </w:rPr>
        <w:t xml:space="preserve">                                                    </w:t>
      </w:r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اما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الامر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الاول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فمضی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کلام صاحب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الجواهر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السيد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الخوئی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قدهما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فيه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ومماورد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کلامهما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المقام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 ان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هذا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العنوان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مشير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الی فرد واحد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وليست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الاولوية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بالقياس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الی اصل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الارث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حتی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يکون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للعنوان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انطباقات علی افراد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وعبارته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فی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الجواهر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هکذا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: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يكون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المراد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اولى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الناس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فردا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معينا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لا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انه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مطلق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يدور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الحكم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مداره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جميع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الطبقات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r w:rsidRPr="00FD52EC">
        <w:rPr>
          <w:rStyle w:val="a6"/>
          <w:rFonts w:ascii="NoorLotus" w:eastAsia="Times New Roman" w:hAnsi="NoorLotus" w:cs="Taher"/>
          <w:color w:val="000000" w:themeColor="text1"/>
          <w:sz w:val="32"/>
          <w:szCs w:val="32"/>
          <w:rtl/>
        </w:rPr>
        <w:footnoteReference w:id="1"/>
      </w:r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ولکنه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لم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يذکر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له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منبه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غير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دعوی استظهار ذلک من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اللفظ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ولکن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الذي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يسهل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الخطب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ان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اختيار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هذا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القول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الصحيحة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لايتوقف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علی اثبات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هذه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>المقدمة</w:t>
      </w:r>
      <w:proofErr w:type="spellEnd"/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قبل ذلک بل</w:t>
      </w:r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لو لم نقل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بکون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اولی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الناس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بميراثه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بذاته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مشيراً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الی فرد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معين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فمع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ذلک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يمکن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يدعی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ان نفس لحاظ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هذا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العنوان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يرشدنا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بالوضوح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الی ان اولی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الناس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بالارث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ليس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فی طبقات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الإرث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الا فرداً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معيناً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وهوالولد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الاکبرباعتبار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انه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اکثرنصيباً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غالب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الموارد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وبملاحظة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اختصاصه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بالحبوة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>.</w:t>
      </w:r>
      <w:r w:rsidRPr="00FD52EC">
        <w:rPr>
          <w:rFonts w:ascii="NoorLotus" w:eastAsia="Times New Roman" w:hAnsi="NoorLotus" w:cs="Taher" w:hint="cs"/>
          <w:color w:val="000000" w:themeColor="text1"/>
          <w:sz w:val="32"/>
          <w:szCs w:val="32"/>
          <w:rtl/>
        </w:rPr>
        <w:t xml:space="preserve"> </w:t>
      </w:r>
    </w:p>
    <w:p w:rsidR="002A1948" w:rsidRPr="00FD52EC" w:rsidRDefault="002A1948" w:rsidP="002541BA">
      <w:pPr>
        <w:jc w:val="highKashida"/>
        <w:rPr>
          <w:rFonts w:ascii="Noor_Titr" w:hAnsi="Noor_Titr" w:cs="Taher"/>
          <w:color w:val="000000" w:themeColor="text1"/>
          <w:sz w:val="32"/>
          <w:szCs w:val="32"/>
          <w:rtl/>
        </w:rPr>
      </w:pP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وکيف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کان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فقدتقدم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وجه استظهار اختصاص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الحکم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بالولد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الاکبر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من کلام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السيد</w:t>
      </w:r>
      <w:proofErr w:type="spellEnd"/>
      <w:r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الخوئي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وصاحب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الجواهرقدهما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وتقدم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ما ذکر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کلام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السيد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الحکيم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ره من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الوجهين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لاستظهار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التعميم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من نفس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العبارة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(اولی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الناس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بميراثه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) و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القرينتين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علی کون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المراد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العبارة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ذلک وان لم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تکن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العبارة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نفسها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ظاهرة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ذلک 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وقداجبنا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عن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الوجهين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لاستظهارالتعميم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من نفس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العبارة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r w:rsidRPr="00FD52EC">
        <w:rPr>
          <w:rFonts w:cs="Taher" w:hint="cs"/>
          <w:b/>
          <w:bCs/>
          <w:color w:val="000000" w:themeColor="text1"/>
          <w:sz w:val="32"/>
          <w:szCs w:val="32"/>
          <w:u w:val="single"/>
          <w:rtl/>
        </w:rPr>
        <w:t>،</w:t>
      </w:r>
      <w:proofErr w:type="spellStart"/>
      <w:r w:rsidRPr="00FD52EC">
        <w:rPr>
          <w:rFonts w:cs="Taher" w:hint="cs"/>
          <w:b/>
          <w:bCs/>
          <w:color w:val="000000" w:themeColor="text1"/>
          <w:sz w:val="32"/>
          <w:szCs w:val="32"/>
          <w:u w:val="single"/>
          <w:rtl/>
        </w:rPr>
        <w:t>واما</w:t>
      </w:r>
      <w:proofErr w:type="spellEnd"/>
      <w:r w:rsidRPr="00FD52EC">
        <w:rPr>
          <w:rFonts w:cs="Taher" w:hint="cs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proofErr w:type="spellStart"/>
      <w:r w:rsidRPr="00FD52EC">
        <w:rPr>
          <w:rFonts w:cs="Taher" w:hint="cs"/>
          <w:b/>
          <w:bCs/>
          <w:color w:val="000000" w:themeColor="text1"/>
          <w:sz w:val="32"/>
          <w:szCs w:val="32"/>
          <w:u w:val="single"/>
          <w:rtl/>
        </w:rPr>
        <w:t>القرينتان</w:t>
      </w:r>
      <w:proofErr w:type="spellEnd"/>
      <w:r w:rsidRPr="00FD52EC">
        <w:rPr>
          <w:rFonts w:cs="Taher" w:hint="cs"/>
          <w:b/>
          <w:bCs/>
          <w:color w:val="000000" w:themeColor="text1"/>
          <w:sz w:val="32"/>
          <w:szCs w:val="32"/>
          <w:u w:val="single"/>
          <w:rtl/>
        </w:rPr>
        <w:t xml:space="preserve"> علی </w:t>
      </w:r>
      <w:proofErr w:type="spellStart"/>
      <w:r w:rsidRPr="00FD52EC">
        <w:rPr>
          <w:rFonts w:cs="Taher" w:hint="cs"/>
          <w:b/>
          <w:bCs/>
          <w:color w:val="000000" w:themeColor="text1"/>
          <w:sz w:val="32"/>
          <w:szCs w:val="32"/>
          <w:u w:val="single"/>
          <w:rtl/>
        </w:rPr>
        <w:t>ارادة</w:t>
      </w:r>
      <w:proofErr w:type="spellEnd"/>
      <w:r w:rsidRPr="00FD52EC">
        <w:rPr>
          <w:rFonts w:cs="Taher" w:hint="cs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proofErr w:type="spellStart"/>
      <w:r w:rsidRPr="00FD52EC">
        <w:rPr>
          <w:rFonts w:cs="Taher" w:hint="cs"/>
          <w:b/>
          <w:bCs/>
          <w:color w:val="000000" w:themeColor="text1"/>
          <w:sz w:val="32"/>
          <w:szCs w:val="32"/>
          <w:u w:val="single"/>
          <w:rtl/>
        </w:rPr>
        <w:t>التعميم</w:t>
      </w:r>
      <w:proofErr w:type="spellEnd"/>
      <w:r w:rsidRPr="00FD52EC">
        <w:rPr>
          <w:rFonts w:cs="Taher" w:hint="cs"/>
          <w:b/>
          <w:bCs/>
          <w:color w:val="000000" w:themeColor="text1"/>
          <w:sz w:val="32"/>
          <w:szCs w:val="32"/>
          <w:u w:val="single"/>
          <w:rtl/>
        </w:rPr>
        <w:t xml:space="preserve"> من </w:t>
      </w:r>
      <w:proofErr w:type="spellStart"/>
      <w:r w:rsidRPr="00FD52EC">
        <w:rPr>
          <w:rFonts w:cs="Taher" w:hint="cs"/>
          <w:b/>
          <w:bCs/>
          <w:color w:val="000000" w:themeColor="text1"/>
          <w:sz w:val="32"/>
          <w:szCs w:val="32"/>
          <w:u w:val="single"/>
          <w:rtl/>
        </w:rPr>
        <w:t>العبارة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فقد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اجاب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عنهما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السيدالخوئي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ره اما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القرينة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الاولی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(ورود مثل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هذا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التعبيرفي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ولاية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التجهيز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مع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ان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الاصحاب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لم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يستظهروا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منه </w:t>
      </w:r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lastRenderedPageBreak/>
        <w:t xml:space="preserve">خصوص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الولد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)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فاجاب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عنها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السيدالخوئي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ره بان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هذه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العبارة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غير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واردة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شي‌ء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نصوص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باب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الصلاة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على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الميّت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إنّما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هي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مذكورة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كلمات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الفقهاء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شائعة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على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ألسنتهم</w:t>
      </w:r>
      <w:proofErr w:type="spellEnd"/>
      <w:r w:rsidRPr="00FD52EC">
        <w:rPr>
          <w:rFonts w:ascii="Taher" w:hAnsi="Noor_Lotus" w:cs="Taher" w:hint="cs"/>
          <w:color w:val="000000" w:themeColor="text1"/>
          <w:sz w:val="32"/>
          <w:szCs w:val="32"/>
          <w:rtl/>
        </w:rPr>
        <w:t xml:space="preserve">. </w:t>
      </w:r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و لعلّ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المستشكل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لاحظ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عبائر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الفقهاء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من دون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تفطّن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لخلوّ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النصوص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عنها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، 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الوارد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النصوص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هو</w:t>
      </w:r>
      <w:r w:rsidRPr="00FD52EC">
        <w:rPr>
          <w:rFonts w:ascii="Taher" w:hAnsi="Noor_Lotus" w:cs="Taher" w:hint="cs"/>
          <w:color w:val="000000" w:themeColor="text1"/>
          <w:sz w:val="32"/>
          <w:szCs w:val="32"/>
          <w:rtl/>
        </w:rPr>
        <w:t xml:space="preserve">: </w:t>
      </w:r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«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يصلّي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على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الجنازة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أولى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الناس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بها</w:t>
      </w:r>
      <w:r w:rsidRPr="00FD52EC">
        <w:rPr>
          <w:rFonts w:ascii="Taher" w:hAnsi="Noor_Lotus" w:cs="Taher" w:hint="cs"/>
          <w:color w:val="000000" w:themeColor="text1"/>
          <w:sz w:val="32"/>
          <w:szCs w:val="32"/>
          <w:rtl/>
        </w:rPr>
        <w:t>»</w:t>
      </w:r>
      <w:r w:rsidRPr="00FD52EC">
        <w:rPr>
          <w:rStyle w:val="a6"/>
          <w:rFonts w:ascii="Noor_Lotus" w:hAnsi="Noor_Lotus" w:cs="Taher"/>
          <w:color w:val="000000" w:themeColor="text1"/>
          <w:sz w:val="32"/>
          <w:szCs w:val="32"/>
          <w:rtl/>
        </w:rPr>
        <w:footnoteReference w:id="2"/>
      </w:r>
      <w:r w:rsidRPr="00FD52EC">
        <w:rPr>
          <w:rFonts w:ascii="Taher" w:hAnsi="Noor_Lotus" w:cs="Taher" w:hint="cs"/>
          <w:color w:val="000000" w:themeColor="text1"/>
          <w:sz w:val="32"/>
          <w:szCs w:val="32"/>
          <w:rtl/>
        </w:rPr>
        <w:t>.</w:t>
      </w:r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و من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الواضح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الفرق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بين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التعبيرين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،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أي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التعبير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ب‍ </w:t>
      </w:r>
      <w:r w:rsidRPr="00FD52EC">
        <w:rPr>
          <w:rFonts w:ascii="Taher" w:hAnsi="Noor_Lotus" w:cs="Taher" w:hint="cs"/>
          <w:color w:val="000000" w:themeColor="text1"/>
          <w:sz w:val="32"/>
          <w:szCs w:val="32"/>
          <w:rtl/>
        </w:rPr>
        <w:t>(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أولى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الناس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بالميراث</w:t>
      </w:r>
      <w:proofErr w:type="spellEnd"/>
      <w:r w:rsidRPr="00FD52EC">
        <w:rPr>
          <w:rFonts w:ascii="Taher" w:hAnsi="Noor_Lotus" w:cs="Taher" w:hint="cs"/>
          <w:color w:val="000000" w:themeColor="text1"/>
          <w:sz w:val="32"/>
          <w:szCs w:val="32"/>
          <w:rtl/>
        </w:rPr>
        <w:t>)</w:t>
      </w:r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التعبير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ب‍ </w:t>
      </w:r>
      <w:r w:rsidRPr="00FD52EC">
        <w:rPr>
          <w:rFonts w:ascii="Taher" w:hAnsi="Noor_Lotus" w:cs="Taher" w:hint="cs"/>
          <w:color w:val="000000" w:themeColor="text1"/>
          <w:sz w:val="32"/>
          <w:szCs w:val="32"/>
          <w:rtl/>
        </w:rPr>
        <w:t>(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أولى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الناس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بالجنازة</w:t>
      </w:r>
      <w:proofErr w:type="spellEnd"/>
      <w:r w:rsidRPr="00FD52EC">
        <w:rPr>
          <w:rFonts w:ascii="Taher" w:hAnsi="Noor_Lotus" w:cs="Taher" w:hint="cs"/>
          <w:color w:val="000000" w:themeColor="text1"/>
          <w:sz w:val="32"/>
          <w:szCs w:val="32"/>
          <w:rtl/>
        </w:rPr>
        <w:t>)</w:t>
      </w:r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،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فإنّ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الأولى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بالميراث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حسبما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هو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المتعارف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عند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العقلاء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هو ولد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الميّت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،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بناءً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منهم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على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أنّ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كلّ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ما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يملكه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الإنسان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فهو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لولده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ذرّيته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بعده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، 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إن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كان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اللّٰه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سبحانه 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تعالى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قد جعل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للأب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أيضاً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نصيباً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مفروضاً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ذلك</w:t>
      </w:r>
      <w:proofErr w:type="spellEnd"/>
      <w:r w:rsidRPr="00FD52EC">
        <w:rPr>
          <w:rFonts w:ascii="Taher" w:hAnsi="Noor_Lotus" w:cs="Taher" w:hint="cs"/>
          <w:color w:val="000000" w:themeColor="text1"/>
          <w:sz w:val="32"/>
          <w:szCs w:val="32"/>
          <w:rtl/>
        </w:rPr>
        <w:t xml:space="preserve">. </w:t>
      </w:r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هذا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بخلاف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الأولى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بالجنازة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،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فإنّه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بملاك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احترام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الميّت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تعظيمه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يراد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به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أكبر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أقرباء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الميت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و هو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الأب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،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فيكون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أمر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التجهيز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راجعاً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إليه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منوطاً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به،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فإنّ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الأب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هو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الأصل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الميّت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فرع منه،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فلذلك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كان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هو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الأولى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به دون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غيره</w:t>
      </w:r>
      <w:r w:rsidRPr="00FD52EC">
        <w:rPr>
          <w:rFonts w:ascii="Taher" w:hAnsi="Noor_Lotus" w:cs="Taher" w:hint="cs"/>
          <w:color w:val="000000" w:themeColor="text1"/>
          <w:sz w:val="32"/>
          <w:szCs w:val="32"/>
          <w:rtl/>
        </w:rPr>
        <w:t>.</w:t>
      </w:r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فهناك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فرق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بين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جنازة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الميّت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بين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ماله، 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بتبعه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يختلف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مصداق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الأولوية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المتعلّقة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بكلّ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منهما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حسب اختلاف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مناسبة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الحكم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و موضوعه،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ففي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الأوّل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يكون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مصداق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الأولى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بالجنازة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هو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أب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الميّت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، 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الثاني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يراد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الأولى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بميراثه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هو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الولد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الأكبر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،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لمكان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الحبوة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كما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عرفت</w:t>
      </w:r>
      <w:proofErr w:type="spellEnd"/>
      <w:r w:rsidRPr="00FD52EC">
        <w:rPr>
          <w:rFonts w:ascii="Taher" w:hAnsi="Noor_Lotus" w:cs="Taher" w:hint="cs"/>
          <w:color w:val="000000" w:themeColor="text1"/>
          <w:sz w:val="32"/>
          <w:szCs w:val="32"/>
          <w:rtl/>
        </w:rPr>
        <w:t xml:space="preserve">. </w:t>
      </w:r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هذا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هو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السر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تفرقة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المشهور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بين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المقامين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،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حيث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بنوا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على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إرادة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الأب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الأولى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باب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الصلاة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الولد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المقام</w:t>
      </w:r>
      <w:r w:rsidRPr="00FD52EC">
        <w:rPr>
          <w:rFonts w:ascii="Taher" w:hAnsi="Noor_Lotus" w:cs="Taher" w:hint="cs"/>
          <w:color w:val="000000" w:themeColor="text1"/>
          <w:sz w:val="32"/>
          <w:szCs w:val="32"/>
          <w:rtl/>
        </w:rPr>
        <w:t>.</w:t>
      </w:r>
      <w:r w:rsidRPr="00FD52EC">
        <w:rPr>
          <w:rFonts w:ascii="Noor_Titr" w:hAnsi="Noor_Titr" w:cs="Taher" w:hint="cs"/>
          <w:b/>
          <w:bCs/>
          <w:color w:val="000000" w:themeColor="text1"/>
          <w:sz w:val="32"/>
          <w:szCs w:val="32"/>
          <w:u w:val="single"/>
          <w:rtl/>
        </w:rPr>
        <w:t>واما</w:t>
      </w:r>
      <w:proofErr w:type="spellEnd"/>
      <w:r w:rsidRPr="00FD52EC">
        <w:rPr>
          <w:rFonts w:ascii="Noor_Titr" w:hAnsi="Noor_Titr" w:cs="Taher" w:hint="cs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b/>
          <w:bCs/>
          <w:color w:val="000000" w:themeColor="text1"/>
          <w:sz w:val="32"/>
          <w:szCs w:val="32"/>
          <w:u w:val="single"/>
          <w:rtl/>
        </w:rPr>
        <w:t>القرينة</w:t>
      </w:r>
      <w:proofErr w:type="spellEnd"/>
      <w:r w:rsidRPr="00FD52EC">
        <w:rPr>
          <w:rFonts w:ascii="Noor_Titr" w:hAnsi="Noor_Titr" w:cs="Taher" w:hint="cs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b/>
          <w:bCs/>
          <w:color w:val="000000" w:themeColor="text1"/>
          <w:sz w:val="32"/>
          <w:szCs w:val="32"/>
          <w:u w:val="single"/>
          <w:rtl/>
        </w:rPr>
        <w:t>الثانية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(</w:t>
      </w:r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فهم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الراوي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منه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التعميم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بشهادة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سؤاله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المذکور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الذيل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)</w:t>
      </w:r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:</w:t>
      </w:r>
      <w:r w:rsidRPr="00FD52EC">
        <w:rPr>
          <w:rFonts w:ascii="Taher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فاجاب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عنها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بان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حفصاً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نفسه وان لم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يستظهر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العبارة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کون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المراد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منها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خصوص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الولدالاکبر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كما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يشهد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به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سؤاله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الثاني</w:t>
      </w:r>
      <w:proofErr w:type="spellEnd"/>
      <w:r w:rsidRPr="00FD52EC">
        <w:rPr>
          <w:rFonts w:ascii="Taher" w:hAnsi="Noor_Lotus" w:cs="Taher" w:hint="cs"/>
          <w:color w:val="000000" w:themeColor="text1"/>
          <w:sz w:val="32"/>
          <w:szCs w:val="32"/>
          <w:rtl/>
        </w:rPr>
        <w:t xml:space="preserve">: </w:t>
      </w:r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«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فإن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كان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أولى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الناس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به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امرأة</w:t>
      </w:r>
      <w:proofErr w:type="spellEnd"/>
      <w:r w:rsidRPr="00FD52EC">
        <w:rPr>
          <w:rFonts w:ascii="Taher" w:hAnsi="Noor_Lotus" w:cs="Taher" w:hint="cs"/>
          <w:color w:val="000000" w:themeColor="text1"/>
          <w:sz w:val="32"/>
          <w:szCs w:val="32"/>
          <w:rtl/>
        </w:rPr>
        <w:t>»</w:t>
      </w:r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،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إلا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أنّ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عدم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فهمه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لا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يضرّ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بالاستدلال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،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فانّنا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إنّما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نتعبّد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بنقله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لا بفهمه، 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نصدّقه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lastRenderedPageBreak/>
        <w:t>روايته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لا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درايته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، و ما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رواه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ظاهر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فيما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ذكرناه</w:t>
      </w:r>
      <w:proofErr w:type="spellEnd"/>
      <w:r w:rsidRPr="00FD52EC">
        <w:rPr>
          <w:rFonts w:ascii="Taher" w:hAnsi="Noor_Lotus" w:cs="Taher" w:hint="cs"/>
          <w:color w:val="000000" w:themeColor="text1"/>
          <w:sz w:val="32"/>
          <w:szCs w:val="32"/>
          <w:rtl/>
        </w:rPr>
        <w:t xml:space="preserve"> </w:t>
      </w:r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من ان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الأولى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بالميراث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هو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الولد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الأكبر</w:t>
      </w:r>
      <w:proofErr w:type="spellEnd"/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&lt;</w:t>
      </w:r>
      <w:r w:rsidRPr="00FD52EC">
        <w:rPr>
          <w:rFonts w:ascii="Taher" w:hAnsi="Noor_Lotus" w:cs="Taher" w:hint="cs"/>
          <w:color w:val="000000" w:themeColor="text1"/>
          <w:sz w:val="32"/>
          <w:szCs w:val="32"/>
          <w:rtl/>
        </w:rPr>
        <w:t>.</w:t>
      </w:r>
      <w:r>
        <w:rPr>
          <w:rFonts w:ascii="Taher" w:hAnsi="Noor_Lotus" w:cs="Taher" w:hint="cs"/>
          <w:color w:val="000000" w:themeColor="text1"/>
          <w:sz w:val="32"/>
          <w:szCs w:val="32"/>
          <w:rtl/>
        </w:rPr>
        <w:t xml:space="preserve"> </w:t>
      </w:r>
      <w:r w:rsidRPr="00FD52EC">
        <w:rPr>
          <w:rStyle w:val="a6"/>
          <w:rFonts w:ascii="Noor_Titr" w:hAnsi="Noor_Titr" w:cs="Taher"/>
          <w:color w:val="000000" w:themeColor="text1"/>
          <w:sz w:val="32"/>
          <w:szCs w:val="32"/>
          <w:rtl/>
        </w:rPr>
        <w:footnoteReference w:id="3"/>
      </w:r>
      <w:r>
        <w:rPr>
          <w:rFonts w:ascii="Taher" w:hAnsi="Noor_Lotus" w:cs="Taher" w:hint="cs"/>
          <w:color w:val="000000" w:themeColor="text1"/>
          <w:sz w:val="32"/>
          <w:szCs w:val="32"/>
          <w:rtl/>
        </w:rPr>
        <w:t xml:space="preserve">                                                                                         </w:t>
      </w:r>
    </w:p>
    <w:p w:rsidR="002A1948" w:rsidRPr="00FD52EC" w:rsidRDefault="002A1948" w:rsidP="002A1948">
      <w:pPr>
        <w:pStyle w:val="a3"/>
        <w:bidi/>
        <w:jc w:val="highKashida"/>
        <w:rPr>
          <w:rFonts w:cs="Taher"/>
          <w:color w:val="000000" w:themeColor="text1"/>
          <w:sz w:val="32"/>
          <w:szCs w:val="32"/>
        </w:rPr>
      </w:pPr>
      <w:proofErr w:type="spellStart"/>
      <w:r w:rsidRPr="00FD52EC">
        <w:rPr>
          <w:rFonts w:ascii="Noor_Titr" w:hAnsi="Noor_Titr" w:cs="Taher" w:hint="cs"/>
          <w:b/>
          <w:bCs/>
          <w:color w:val="000000" w:themeColor="text1"/>
          <w:sz w:val="32"/>
          <w:szCs w:val="32"/>
          <w:u w:val="single"/>
          <w:rtl/>
        </w:rPr>
        <w:t>اقول</w:t>
      </w:r>
      <w:proofErr w:type="spellEnd"/>
      <w:r w:rsidRPr="00FD52EC">
        <w:rPr>
          <w:rFonts w:ascii="Noor_Titr" w:hAnsi="Noor_Titr" w:cs="Taher" w:hint="cs"/>
          <w:b/>
          <w:bCs/>
          <w:color w:val="000000" w:themeColor="text1"/>
          <w:sz w:val="32"/>
          <w:szCs w:val="32"/>
          <w:u w:val="single"/>
          <w:rtl/>
        </w:rPr>
        <w:t xml:space="preserve"> :</w:t>
      </w:r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اما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الجواب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عن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القرينة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الاولی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فهو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تامّ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محله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واما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الجواب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عن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القرينة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الثانية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u w:val="single"/>
          <w:rtl/>
        </w:rPr>
        <w:t>فيلاحظ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u w:val="single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u w:val="single"/>
          <w:rtl/>
        </w:rPr>
        <w:t>عليه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بان فهم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حفص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وان لم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يکن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حجة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علينا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حدّ نفسه الا ان عدم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ردع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الامام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عليه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السلام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عن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فهمه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امضاء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وتقريرلفهمه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الشمول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العبارة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ويکون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تصديقاً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لشمول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العبارة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لغير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الولد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الاکبر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،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u w:val="single"/>
          <w:rtl/>
        </w:rPr>
        <w:t>وقدتصدی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u w:val="single"/>
          <w:rtl/>
        </w:rPr>
        <w:t xml:space="preserve"> صاحب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u w:val="single"/>
          <w:rtl/>
        </w:rPr>
        <w:t>الجواهر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u w:val="single"/>
          <w:rtl/>
        </w:rPr>
        <w:t xml:space="preserve"> ره</w:t>
      </w:r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لنفي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القرينية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السؤال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الثاني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علی فهم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حفص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الشمول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العبارة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ببيان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لوتم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کان جواباً عن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هذه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>الملاحظة</w:t>
      </w:r>
      <w:proofErr w:type="spellEnd"/>
      <w:r w:rsidRPr="00FD52EC">
        <w:rPr>
          <w:rFonts w:ascii="Noor_Titr" w:hAnsi="Noor_Titr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وهو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ان معنی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السؤال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الثانی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ليس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حفصاً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فهم من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العبارة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واستظهر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العموم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من عنوان اولی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الناس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بميراثه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لجميع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طبقات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الارث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لانه حتی لو کان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المراد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هذا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العنوان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هو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الولد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الاکبر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لکن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مع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ذلک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انقدح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سؤال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لحفص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انه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فی فرض عدم وجود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الولد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الاکبر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وانحصر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الوارث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فی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النساء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فهل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تقضی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عنه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النساء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او لا؟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فقال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ره:</w:t>
      </w:r>
      <w:r w:rsidRPr="00FD52EC">
        <w:rPr>
          <w:rFonts w:ascii="Taher" w:hAnsi="Noor_Lotus" w:cs="Taher" w:hint="cs"/>
          <w:color w:val="000000" w:themeColor="text1"/>
          <w:sz w:val="32"/>
          <w:szCs w:val="32"/>
          <w:rtl/>
        </w:rPr>
        <w:t xml:space="preserve"> </w:t>
      </w:r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&gt;</w:t>
      </w:r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  <w:lang w:bidi="ar-SA"/>
        </w:rPr>
        <w:t xml:space="preserve">و لا ينافيه قوله </w:t>
      </w:r>
      <w:r w:rsidRPr="00FD52EC">
        <w:rPr>
          <w:rFonts w:ascii="Taher" w:hAnsi="Noor_Lotus" w:cs="Taher" w:hint="cs"/>
          <w:color w:val="000000" w:themeColor="text1"/>
          <w:sz w:val="32"/>
          <w:szCs w:val="32"/>
          <w:rtl/>
        </w:rPr>
        <w:t>«</w:t>
      </w:r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  <w:lang w:bidi="ar-SA"/>
        </w:rPr>
        <w:t>فإن</w:t>
      </w:r>
      <w:r w:rsidRPr="00FD52EC">
        <w:rPr>
          <w:rFonts w:ascii="Taher" w:hAnsi="Noor_Lotus" w:cs="Taher" w:hint="cs"/>
          <w:color w:val="000000" w:themeColor="text1"/>
          <w:sz w:val="32"/>
          <w:szCs w:val="32"/>
          <w:rtl/>
        </w:rPr>
        <w:t xml:space="preserve">» </w:t>
      </w:r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  <w:lang w:bidi="ar-SA"/>
        </w:rPr>
        <w:t>الى آخره ضرورة كون المراد انه إذا اتفق اختصاص المرأة‌</w:t>
      </w:r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 xml:space="preserve"> </w:t>
      </w:r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  <w:lang w:bidi="ar-SA"/>
        </w:rPr>
        <w:t>بالإرث، و حينئذ يكون المراد من اولى الناس فردا معينا لا انه مطلق يدور الحكم مداره في جميع الطبقات، و لئن كان في ذلك نوع تكلف أمكن جبره بالشهرة فإنها صالحة لذلك و نحوه باعتبار حصول الظن بكون ذلك هو المراد دون غيره و إنكار الشهرة، المعتد بها يدفعه التتبع، بل لم أجد من عمل بهذه النصوص على طبقات الإرث</w:t>
      </w:r>
      <w:r w:rsidRPr="00FD52EC">
        <w:rPr>
          <w:rFonts w:ascii="Noor_Lotus" w:hAnsi="Noor_Lotus" w:cs="Taher"/>
          <w:color w:val="000000" w:themeColor="text1"/>
          <w:sz w:val="32"/>
          <w:szCs w:val="32"/>
        </w:rPr>
        <w:t>.</w:t>
      </w:r>
      <w:r w:rsidRPr="00FD52EC">
        <w:rPr>
          <w:rFonts w:ascii="Noor_Lotus" w:hAnsi="Noor_Lotus" w:cs="Taher" w:hint="cs"/>
          <w:color w:val="000000" w:themeColor="text1"/>
          <w:sz w:val="32"/>
          <w:szCs w:val="32"/>
          <w:rtl/>
        </w:rPr>
        <w:t>&lt;</w:t>
      </w:r>
      <w:r w:rsidRPr="00FD52EC">
        <w:rPr>
          <w:rStyle w:val="a6"/>
          <w:rFonts w:cs="Taher"/>
          <w:color w:val="000000" w:themeColor="text1"/>
          <w:sz w:val="32"/>
          <w:szCs w:val="32"/>
          <w:rtl/>
        </w:rPr>
        <w:footnoteReference w:id="4"/>
      </w:r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لکنه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کما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اعترف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به نفسه ره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فيه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تکلف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وما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ذکره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الشهرة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لايکفي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ارتکابه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بالنسبة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الی فهم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السائل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وان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قلنا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بکفايته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لتعيين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المراد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من کلام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الامام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× 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فالقرينة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الثانية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لارادة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الشمول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لجميع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طبقات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الارث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عندنا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تامة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بل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يمکن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يقال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 ان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هذا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العنوان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بقرينة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 استعمال ما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يشبهه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کعنوان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اولی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بالميت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ونحوه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فی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سائر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الابواب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اشارة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الی ما ذکر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الآية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الشريفة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&gt;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وَ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أُولُوا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الْأَرْح</w:t>
      </w:r>
      <w:r w:rsidRPr="00FD52EC">
        <w:rPr>
          <w:rFonts w:cs="Taher" w:hint="cs"/>
          <w:color w:val="000000" w:themeColor="text1"/>
          <w:sz w:val="32"/>
          <w:szCs w:val="32"/>
          <w:rtl/>
        </w:rPr>
        <w:t>ٰ</w:t>
      </w:r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امِ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بَعْضُهُمْ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أَوْلى</w:t>
      </w:r>
      <w:r w:rsidRPr="00FD52EC">
        <w:rPr>
          <w:rFonts w:cs="Taher" w:hint="cs"/>
          <w:color w:val="000000" w:themeColor="text1"/>
          <w:sz w:val="32"/>
          <w:szCs w:val="32"/>
          <w:rtl/>
        </w:rPr>
        <w:t>ٰ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بِبَعْضٍ</w:t>
      </w:r>
      <w:proofErr w:type="spellEnd"/>
      <w:r w:rsidRPr="00FD52EC">
        <w:rPr>
          <w:rFonts w:ascii="NoorLotus" w:hAnsi="NoorLotus" w:cs="Taher" w:hint="cs"/>
          <w:color w:val="000000" w:themeColor="text1"/>
          <w:sz w:val="32"/>
          <w:szCs w:val="32"/>
          <w:rtl/>
        </w:rPr>
        <w:t>»</w:t>
      </w:r>
      <w:r w:rsidRPr="00FD52EC">
        <w:rPr>
          <w:rStyle w:val="a6"/>
          <w:rFonts w:ascii="NoorLotus" w:hAnsi="NoorLotus" w:cs="Taher"/>
          <w:color w:val="000000" w:themeColor="text1"/>
          <w:sz w:val="32"/>
          <w:szCs w:val="32"/>
          <w:rtl/>
        </w:rPr>
        <w:footnoteReference w:id="5"/>
      </w:r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lastRenderedPageBreak/>
        <w:t>فيکون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المراد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منه اولی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بالميراث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بحسب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طبقات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الارث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ولا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اقل من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انه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ليس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ظاهراً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خصوص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الولدالاکبر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بل هو مجمل من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حيث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المراد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منه خصوص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الولد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الاکبر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او اولی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بالميراث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بحسب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طبقات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الارث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وعندئذ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تصل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النوبة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الی الاصل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العملی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وحيث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ان 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غير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الولد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الاکبر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(من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سائرافراد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الاولی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بالميراث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الذکور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>)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يشک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فی توجه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التکليف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بقضاء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صلاة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الوالدين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اليه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فتجری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البرائة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بالنسبة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اليه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فيکون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اختصاص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الحکم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بالولد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الاکبربالاستناد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الی الاصل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العملي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لا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باعتباردلالة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صحيحة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حفص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 علی وجوب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القضاء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علی خصوص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الولدالاکبر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>.</w:t>
      </w:r>
    </w:p>
    <w:p w:rsidR="001213FC" w:rsidRPr="002A1948" w:rsidRDefault="002A1948" w:rsidP="002A1948">
      <w:pPr>
        <w:pStyle w:val="a3"/>
        <w:bidi/>
        <w:jc w:val="highKashida"/>
        <w:rPr>
          <w:rFonts w:cs="Taher"/>
          <w:color w:val="000000" w:themeColor="text1"/>
          <w:sz w:val="32"/>
          <w:szCs w:val="32"/>
        </w:rPr>
      </w:pP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نعم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يمکن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الوصول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الی ما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اختاره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صاحب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الجواهروالسيد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الخوئي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قدهما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(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والمشهور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) من اختصاص وجوب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القضاء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بالولدالاکبرحتی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لوقلنا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بتمامية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دلالة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صحيحة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حفص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بن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البختری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علی وجوب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القضاء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علی اولی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بالميراث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بحسب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طبقات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الارث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وذلک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بالاستناد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قاعدة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لو کان لبان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باعتبار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هذه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المسألة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کانت من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المسائل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الکثيرة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الابتلاء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لعامة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الناس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وفي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هذه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المسائل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لوکان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الحکم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اللزومي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ثابتاً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الشريعة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لبان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واشتهربين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الناس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فلو کان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القضاء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واجباً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علی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جميع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الطبقات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لاشتهر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بين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الناس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ولم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يخف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علی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الاصحاب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مع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انه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لم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يشتهربينهم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 بل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اشتهرخلافه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حيث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ذهب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المشهور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الی اختصاص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الحکم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بالولد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الاکبر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وهذا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يدلّ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bookmarkStart w:id="0" w:name="_GoBack"/>
      <w:bookmarkEnd w:id="0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علی وجود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ارتکازمتشرعي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علی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الاختصاص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بملاحظة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ذلک لم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يأخذوا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بظهور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الروايات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الدالة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علی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تعميم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الحکم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بالنسبة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جميع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طبقات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الارث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،کما ان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الامرکذلک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بالنسبة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الغسل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للاحرام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فان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ظاهرالنصوص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وان کان هو وجوب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هذا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الغسل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واعتباره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في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تحقق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الاحرام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الا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انه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بالاستناد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قاعدة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لو کان لبان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ولعدم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اشتهار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الوجوب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بين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عامة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الناس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يرفع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اليد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عن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ظاهرالنصوص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ويحمل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علی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تأکدالاستحباب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. فقد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تحصل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مماذکرناه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ان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الصحيح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هوالقول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الاول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الذي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ذهب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اليه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المشهور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لا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القول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الثاني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الذي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ذهب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اليه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الاسکافي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ووافقه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عدة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المحققين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کصاحب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المدارک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والمحقق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النراقي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قدهما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وغيرهما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واما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القول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الثالث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الذي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ذهب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اليه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D52EC">
        <w:rPr>
          <w:rFonts w:cs="Taher" w:hint="cs"/>
          <w:color w:val="000000" w:themeColor="text1"/>
          <w:sz w:val="32"/>
          <w:szCs w:val="32"/>
          <w:rtl/>
        </w:rPr>
        <w:t>المفيد</w:t>
      </w:r>
      <w:proofErr w:type="spellEnd"/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ره</w:t>
      </w:r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 xml:space="preserve"> من وجوب </w:t>
      </w:r>
      <w:proofErr w:type="spellStart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>القضاء</w:t>
      </w:r>
      <w:proofErr w:type="spellEnd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 xml:space="preserve"> علی </w:t>
      </w:r>
      <w:proofErr w:type="spellStart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>أولی</w:t>
      </w:r>
      <w:proofErr w:type="spellEnd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>الناس</w:t>
      </w:r>
      <w:proofErr w:type="spellEnd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>بميراثه</w:t>
      </w:r>
      <w:proofErr w:type="spellEnd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>مطلقا</w:t>
      </w:r>
      <w:proofErr w:type="spellEnd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 xml:space="preserve"> حتی </w:t>
      </w:r>
      <w:proofErr w:type="spellStart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>الاناثی</w:t>
      </w:r>
      <w:proofErr w:type="spellEnd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>فيردّه</w:t>
      </w:r>
      <w:proofErr w:type="spellEnd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>ذيل</w:t>
      </w:r>
      <w:proofErr w:type="spellEnd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>صحيحة</w:t>
      </w:r>
      <w:proofErr w:type="spellEnd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 xml:space="preserve"> </w:t>
      </w:r>
      <w:proofErr w:type="spellStart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>حفص</w:t>
      </w:r>
      <w:proofErr w:type="spellEnd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 xml:space="preserve"> بن </w:t>
      </w:r>
      <w:proofErr w:type="spellStart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>البختري</w:t>
      </w:r>
      <w:proofErr w:type="spellEnd"/>
      <w:r w:rsidRPr="00FD52EC">
        <w:rPr>
          <w:rFonts w:ascii="NoorLotus" w:hAnsi="NoorLotus" w:cs="Taher" w:hint="cs"/>
          <w:color w:val="000000"/>
          <w:sz w:val="32"/>
          <w:szCs w:val="32"/>
          <w:rtl/>
        </w:rPr>
        <w:t xml:space="preserve"> .</w:t>
      </w:r>
      <w:r w:rsidRPr="00FD52EC">
        <w:rPr>
          <w:rFonts w:cs="Taher" w:hint="cs"/>
          <w:color w:val="000000" w:themeColor="text1"/>
          <w:sz w:val="32"/>
          <w:szCs w:val="32"/>
          <w:rtl/>
        </w:rPr>
        <w:t xml:space="preserve">  </w:t>
      </w:r>
    </w:p>
    <w:sectPr w:rsidR="001213FC" w:rsidRPr="002A1948" w:rsidSect="0022213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75" w:rsidRDefault="000B5E75" w:rsidP="002A1948">
      <w:pPr>
        <w:spacing w:after="0" w:line="240" w:lineRule="auto"/>
      </w:pPr>
      <w:r>
        <w:separator/>
      </w:r>
    </w:p>
  </w:endnote>
  <w:endnote w:type="continuationSeparator" w:id="0">
    <w:p w:rsidR="000B5E75" w:rsidRDefault="000B5E75" w:rsidP="002A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e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oorLotu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or_Titr">
    <w:altName w:val="Segoe UI Semibold"/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Noor_Lotus">
    <w:altName w:val="Segoe UI Semilight"/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75" w:rsidRDefault="000B5E75" w:rsidP="002A1948">
      <w:pPr>
        <w:spacing w:after="0" w:line="240" w:lineRule="auto"/>
      </w:pPr>
      <w:r>
        <w:separator/>
      </w:r>
    </w:p>
  </w:footnote>
  <w:footnote w:type="continuationSeparator" w:id="0">
    <w:p w:rsidR="000B5E75" w:rsidRDefault="000B5E75" w:rsidP="002A1948">
      <w:pPr>
        <w:spacing w:after="0" w:line="240" w:lineRule="auto"/>
      </w:pPr>
      <w:r>
        <w:continuationSeparator/>
      </w:r>
    </w:p>
  </w:footnote>
  <w:footnote w:id="1">
    <w:p w:rsidR="002A1948" w:rsidRDefault="002A1948" w:rsidP="002A1948">
      <w:pPr>
        <w:pStyle w:val="a4"/>
        <w:jc w:val="right"/>
        <w:rPr>
          <w:lang w:bidi="fa-IR"/>
        </w:rPr>
      </w:pPr>
      <w:r>
        <w:rPr>
          <w:rFonts w:hint="cs"/>
          <w:rtl/>
        </w:rPr>
        <w:t>-</w:t>
      </w:r>
      <w:r w:rsidRPr="008F24F8">
        <w:rPr>
          <w:rFonts w:cs="Taher" w:hint="cs"/>
          <w:rtl/>
        </w:rPr>
        <w:t xml:space="preserve"> جواهر الکلام ج17ص41</w:t>
      </w:r>
      <w:r w:rsidRPr="008F24F8">
        <w:rPr>
          <w:rStyle w:val="a6"/>
          <w:rFonts w:cs="Taher"/>
        </w:rPr>
        <w:footnoteRef/>
      </w:r>
      <w:r w:rsidRPr="008F24F8">
        <w:rPr>
          <w:rFonts w:cs="Taher"/>
        </w:rPr>
        <w:t xml:space="preserve"> </w:t>
      </w:r>
    </w:p>
  </w:footnote>
  <w:footnote w:id="2">
    <w:p w:rsidR="002A1948" w:rsidRDefault="002A1948" w:rsidP="002A1948">
      <w:pPr>
        <w:pStyle w:val="a4"/>
      </w:pPr>
      <w:r>
        <w:rPr>
          <w:rStyle w:val="a6"/>
        </w:rPr>
        <w:footnoteRef/>
      </w:r>
      <w:r>
        <w:t xml:space="preserve"> </w:t>
      </w:r>
      <w:r w:rsidRPr="008F24F8">
        <w:rPr>
          <w:rFonts w:ascii="Noor_Lotus" w:hAnsi="Noor_Lotus" w:cs="Taher" w:hint="cs"/>
          <w:color w:val="000000" w:themeColor="text1"/>
          <w:rtl/>
        </w:rPr>
        <w:t xml:space="preserve">الوسائل </w:t>
      </w:r>
      <w:r w:rsidRPr="008F24F8">
        <w:rPr>
          <w:rFonts w:ascii="Noor_Lotus" w:hAnsi="Noor_Lotus" w:cs="Taher" w:hint="cs"/>
          <w:color w:val="000000" w:themeColor="text1"/>
          <w:rtl/>
        </w:rPr>
        <w:t>الباب23 من أبواب صلاة الجنازة ح 1، 2</w:t>
      </w:r>
      <w:r w:rsidRPr="008F24F8">
        <w:rPr>
          <w:rFonts w:cs="Taher" w:hint="cs"/>
          <w:rtl/>
        </w:rPr>
        <w:t xml:space="preserve">  -</w:t>
      </w:r>
      <w:r>
        <w:t xml:space="preserve"> </w:t>
      </w:r>
    </w:p>
  </w:footnote>
  <w:footnote w:id="3">
    <w:p w:rsidR="002A1948" w:rsidRDefault="002A1948" w:rsidP="002A1948">
      <w:pPr>
        <w:pStyle w:val="a4"/>
        <w:rPr>
          <w:lang w:bidi="fa-IR"/>
        </w:rPr>
      </w:pPr>
      <w:r>
        <w:rPr>
          <w:rStyle w:val="a6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 </w:t>
      </w:r>
      <w:proofErr w:type="spellStart"/>
      <w:r w:rsidRPr="004512F1">
        <w:rPr>
          <w:rFonts w:cs="Taher" w:hint="cs"/>
          <w:rtl/>
          <w:lang w:bidi="fa-IR"/>
        </w:rPr>
        <w:t>الموسوعة</w:t>
      </w:r>
      <w:proofErr w:type="spellEnd"/>
      <w:r w:rsidRPr="004512F1">
        <w:rPr>
          <w:rFonts w:cs="Taher" w:hint="cs"/>
          <w:rtl/>
          <w:lang w:bidi="fa-IR"/>
        </w:rPr>
        <w:t xml:space="preserve"> ج16ص275-277  - </w:t>
      </w:r>
    </w:p>
  </w:footnote>
  <w:footnote w:id="4">
    <w:p w:rsidR="002A1948" w:rsidRPr="003816C0" w:rsidRDefault="002A1948" w:rsidP="002A1948">
      <w:pPr>
        <w:pStyle w:val="a4"/>
        <w:rPr>
          <w:rFonts w:cs="Taher"/>
          <w:lang w:bidi="fa-IR"/>
        </w:rPr>
      </w:pPr>
      <w:r w:rsidRPr="003816C0">
        <w:rPr>
          <w:rStyle w:val="a6"/>
          <w:rFonts w:cs="Taher"/>
        </w:rPr>
        <w:footnoteRef/>
      </w:r>
      <w:r w:rsidRPr="003816C0">
        <w:rPr>
          <w:rFonts w:cs="Taher"/>
        </w:rPr>
        <w:t xml:space="preserve"> </w:t>
      </w:r>
      <w:proofErr w:type="spellStart"/>
      <w:r w:rsidRPr="003816C0">
        <w:rPr>
          <w:rFonts w:cs="Taher" w:hint="cs"/>
          <w:rtl/>
          <w:lang w:bidi="fa-IR"/>
        </w:rPr>
        <w:t>الجواهر</w:t>
      </w:r>
      <w:proofErr w:type="spellEnd"/>
      <w:r w:rsidRPr="003816C0">
        <w:rPr>
          <w:rFonts w:cs="Taher" w:hint="cs"/>
          <w:rtl/>
          <w:lang w:bidi="fa-IR"/>
        </w:rPr>
        <w:t xml:space="preserve"> ج17ص40-41   -</w:t>
      </w:r>
    </w:p>
  </w:footnote>
  <w:footnote w:id="5">
    <w:p w:rsidR="002A1948" w:rsidRPr="00290018" w:rsidRDefault="002A1948" w:rsidP="002A1948">
      <w:pPr>
        <w:pStyle w:val="a4"/>
        <w:rPr>
          <w:rFonts w:cs="Taher"/>
          <w:lang w:bidi="fa-IR"/>
        </w:rPr>
      </w:pPr>
      <w:r w:rsidRPr="00290018">
        <w:rPr>
          <w:rStyle w:val="a6"/>
          <w:rFonts w:cs="Taher"/>
        </w:rPr>
        <w:footnoteRef/>
      </w:r>
      <w:r w:rsidRPr="00290018">
        <w:rPr>
          <w:rFonts w:cs="Taher"/>
        </w:rPr>
        <w:t xml:space="preserve"> </w:t>
      </w:r>
      <w:r w:rsidRPr="00290018">
        <w:rPr>
          <w:rFonts w:cs="Taher" w:hint="cs"/>
          <w:rtl/>
          <w:lang w:bidi="fa-IR"/>
        </w:rPr>
        <w:t xml:space="preserve"> </w:t>
      </w:r>
      <w:proofErr w:type="spellStart"/>
      <w:r w:rsidRPr="00290018">
        <w:rPr>
          <w:rFonts w:cs="Taher" w:hint="cs"/>
          <w:rtl/>
          <w:lang w:bidi="fa-IR"/>
        </w:rPr>
        <w:t>الانفال</w:t>
      </w:r>
      <w:proofErr w:type="spellEnd"/>
      <w:r w:rsidRPr="00290018">
        <w:rPr>
          <w:rFonts w:cs="Taher" w:hint="cs"/>
          <w:rtl/>
          <w:lang w:bidi="fa-IR"/>
        </w:rPr>
        <w:t xml:space="preserve"> ،الآية:75   </w:t>
      </w:r>
      <w:r>
        <w:rPr>
          <w:rFonts w:cs="Taher" w:hint="cs"/>
          <w:rtl/>
          <w:lang w:bidi="fa-IR"/>
        </w:rPr>
        <w:t>-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59339875"/>
      <w:docPartObj>
        <w:docPartGallery w:val="Page Numbers (Top of Page)"/>
        <w:docPartUnique/>
      </w:docPartObj>
    </w:sdtPr>
    <w:sdtEndPr/>
    <w:sdtContent>
      <w:p w:rsidR="002A1948" w:rsidRDefault="002A19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1BA" w:rsidRPr="002541BA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  <w:p w:rsidR="002A1948" w:rsidRDefault="002A19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54"/>
    <w:rsid w:val="000B5E75"/>
    <w:rsid w:val="001213FC"/>
    <w:rsid w:val="00222135"/>
    <w:rsid w:val="002541BA"/>
    <w:rsid w:val="002A1948"/>
    <w:rsid w:val="00DE7E54"/>
    <w:rsid w:val="00E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9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2A1948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a5">
    <w:name w:val="متن پاورقی نویسه"/>
    <w:basedOn w:val="a0"/>
    <w:link w:val="a4"/>
    <w:semiHidden/>
    <w:rsid w:val="002A1948"/>
    <w:rPr>
      <w:sz w:val="20"/>
      <w:szCs w:val="20"/>
      <w:lang w:bidi="ar-SA"/>
    </w:rPr>
  </w:style>
  <w:style w:type="character" w:styleId="a6">
    <w:name w:val="footnote reference"/>
    <w:basedOn w:val="a0"/>
    <w:semiHidden/>
    <w:unhideWhenUsed/>
    <w:rsid w:val="002A194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A1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2A1948"/>
  </w:style>
  <w:style w:type="paragraph" w:styleId="a9">
    <w:name w:val="footer"/>
    <w:basedOn w:val="a"/>
    <w:link w:val="aa"/>
    <w:uiPriority w:val="99"/>
    <w:unhideWhenUsed/>
    <w:rsid w:val="002A1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2A1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9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2A1948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a5">
    <w:name w:val="متن پاورقی نویسه"/>
    <w:basedOn w:val="a0"/>
    <w:link w:val="a4"/>
    <w:semiHidden/>
    <w:rsid w:val="002A1948"/>
    <w:rPr>
      <w:sz w:val="20"/>
      <w:szCs w:val="20"/>
      <w:lang w:bidi="ar-SA"/>
    </w:rPr>
  </w:style>
  <w:style w:type="character" w:styleId="a6">
    <w:name w:val="footnote reference"/>
    <w:basedOn w:val="a0"/>
    <w:semiHidden/>
    <w:unhideWhenUsed/>
    <w:rsid w:val="002A194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A1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2A1948"/>
  </w:style>
  <w:style w:type="paragraph" w:styleId="a9">
    <w:name w:val="footer"/>
    <w:basedOn w:val="a"/>
    <w:link w:val="aa"/>
    <w:uiPriority w:val="99"/>
    <w:unhideWhenUsed/>
    <w:rsid w:val="002A1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2A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سلام</dc:creator>
  <cp:lastModifiedBy>سلام</cp:lastModifiedBy>
  <cp:revision>3</cp:revision>
  <cp:lastPrinted>2019-10-25T19:47:00Z</cp:lastPrinted>
  <dcterms:created xsi:type="dcterms:W3CDTF">2019-10-25T19:37:00Z</dcterms:created>
  <dcterms:modified xsi:type="dcterms:W3CDTF">2019-10-25T19:47:00Z</dcterms:modified>
</cp:coreProperties>
</file>