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r w:rsidRPr="007A1687">
        <w:rPr>
          <w:rtl/>
          <w:lang w:val="en-US"/>
        </w:rPr>
        <w:t>بسم‌الله</w:t>
      </w:r>
      <w:r w:rsidR="0052675C" w:rsidRPr="007A1687">
        <w:rPr>
          <w:rFonts w:hint="cs"/>
          <w:rtl/>
          <w:lang w:val="en-US"/>
        </w:rPr>
        <w:t xml:space="preserve"> الرحمن الرحیم</w:t>
      </w:r>
    </w:p>
    <w:p w14:paraId="64A6B661" w14:textId="6E1F1D2D" w:rsidR="00F21F44" w:rsidRPr="007A1687" w:rsidRDefault="00903334" w:rsidP="00903334">
      <w:pPr>
        <w:spacing w:line="240" w:lineRule="auto"/>
        <w:jc w:val="center"/>
        <w:rPr>
          <w:color w:val="A6A6A6" w:themeColor="background1" w:themeShade="A6"/>
          <w:rtl/>
          <w:lang w:val="en-US"/>
        </w:rPr>
      </w:pPr>
      <w:r w:rsidRPr="007A1687">
        <w:rPr>
          <w:rFonts w:hint="cs"/>
          <w:rtl/>
          <w:lang w:val="en-US"/>
        </w:rPr>
        <w:t>تقریر</w:t>
      </w:r>
      <w:r w:rsidR="0052675C" w:rsidRPr="007A1687">
        <w:rPr>
          <w:rFonts w:hint="cs"/>
          <w:rtl/>
          <w:lang w:val="en-US"/>
        </w:rPr>
        <w:t>اصول الفقه | جل</w:t>
      </w:r>
      <w:r w:rsidR="00741878" w:rsidRPr="007A1687">
        <w:rPr>
          <w:rFonts w:hint="cs"/>
          <w:rtl/>
          <w:lang w:val="en-US"/>
        </w:rPr>
        <w:t>سه</w:t>
      </w:r>
      <w:r w:rsidR="00E90535">
        <w:rPr>
          <w:rFonts w:hint="cs"/>
          <w:rtl/>
          <w:lang w:val="en-US"/>
        </w:rPr>
        <w:t>3</w:t>
      </w:r>
      <w:r w:rsidR="00A759B1">
        <w:rPr>
          <w:rFonts w:hint="cs"/>
          <w:rtl/>
          <w:lang w:val="en-US"/>
        </w:rPr>
        <w:t>6</w:t>
      </w:r>
      <w:r w:rsidR="0052675C" w:rsidRPr="007A1687">
        <w:rPr>
          <w:rFonts w:hint="cs"/>
          <w:rtl/>
          <w:lang w:val="en-US"/>
        </w:rPr>
        <w:t xml:space="preserve">                              </w:t>
      </w:r>
      <w:r w:rsidR="0052675C" w:rsidRPr="007A1687">
        <w:rPr>
          <w:rFonts w:hint="cs"/>
          <w:b/>
          <w:bCs/>
          <w:rtl/>
          <w:lang w:val="en-US"/>
        </w:rPr>
        <w:t xml:space="preserve">استاد شوپایی جویباری </w:t>
      </w:r>
      <w:r w:rsidR="0052675C" w:rsidRPr="007A1687">
        <w:rPr>
          <w:rFonts w:hint="cs"/>
          <w:b/>
          <w:bCs/>
          <w:vertAlign w:val="superscript"/>
          <w:rtl/>
          <w:lang w:val="en-US"/>
        </w:rPr>
        <w:t>زید عزه</w:t>
      </w:r>
      <w:r w:rsidR="0052675C" w:rsidRPr="007A1687">
        <w:rPr>
          <w:rFonts w:hint="cs"/>
          <w:rtl/>
          <w:lang w:val="en-US"/>
        </w:rPr>
        <w:t xml:space="preserve">                                                        </w:t>
      </w:r>
      <w:r w:rsidR="006A03CD">
        <w:rPr>
          <w:rFonts w:hint="cs"/>
          <w:color w:val="A6A6A6" w:themeColor="background1" w:themeShade="A6"/>
          <w:rtl/>
          <w:lang w:val="en-US"/>
        </w:rPr>
        <w:t>0</w:t>
      </w:r>
      <w:r w:rsidR="00910442">
        <w:rPr>
          <w:rFonts w:hint="cs"/>
          <w:color w:val="A6A6A6" w:themeColor="background1" w:themeShade="A6"/>
          <w:rtl/>
          <w:lang w:val="en-US"/>
        </w:rPr>
        <w:t>6</w:t>
      </w:r>
      <w:r w:rsidR="0052675C" w:rsidRPr="007A1687">
        <w:rPr>
          <w:rFonts w:hint="cs"/>
          <w:color w:val="A6A6A6" w:themeColor="background1" w:themeShade="A6"/>
          <w:rtl/>
          <w:lang w:val="en-US"/>
        </w:rPr>
        <w:t>/</w:t>
      </w:r>
      <w:r w:rsidR="006A03CD">
        <w:rPr>
          <w:rFonts w:hint="cs"/>
          <w:color w:val="A6A6A6" w:themeColor="background1" w:themeShade="A6"/>
          <w:rtl/>
          <w:lang w:val="en-US"/>
        </w:rPr>
        <w:t>8</w:t>
      </w:r>
      <w:r w:rsidR="0052675C" w:rsidRPr="007A1687">
        <w:rPr>
          <w:rFonts w:hint="cs"/>
          <w:color w:val="A6A6A6" w:themeColor="background1" w:themeShade="A6"/>
          <w:rtl/>
          <w:lang w:val="en-US"/>
        </w:rPr>
        <w:t>/1404</w:t>
      </w:r>
    </w:p>
    <w:p w14:paraId="04C4AA0A" w14:textId="04DD683E"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095EF9">
        <w:rPr>
          <w:rFonts w:hint="cs"/>
          <w:b/>
          <w:bCs/>
          <w:sz w:val="24"/>
          <w:szCs w:val="32"/>
          <w:rtl/>
          <w:lang w:val="en-US"/>
        </w:rPr>
        <w:t xml:space="preserve"> جهت </w:t>
      </w:r>
      <w:r w:rsidR="00A11113">
        <w:rPr>
          <w:rFonts w:hint="cs"/>
          <w:b/>
          <w:bCs/>
          <w:sz w:val="24"/>
          <w:szCs w:val="32"/>
          <w:rtl/>
          <w:lang w:val="en-US"/>
        </w:rPr>
        <w:t>سوم</w:t>
      </w:r>
      <w:r w:rsidR="00095EF9">
        <w:rPr>
          <w:rFonts w:hint="cs"/>
          <w:b/>
          <w:bCs/>
          <w:sz w:val="24"/>
          <w:szCs w:val="32"/>
          <w:rtl/>
          <w:lang w:val="en-US"/>
        </w:rPr>
        <w:t xml:space="preserve"> از</w:t>
      </w:r>
      <w:r w:rsidR="00F21F44" w:rsidRPr="007A1687">
        <w:rPr>
          <w:rFonts w:hint="cs"/>
          <w:b/>
          <w:bCs/>
          <w:sz w:val="24"/>
          <w:szCs w:val="32"/>
          <w:rtl/>
          <w:lang w:val="en-US"/>
        </w:rPr>
        <w:t xml:space="preserve"> </w:t>
      </w:r>
      <w:r w:rsidR="00416268">
        <w:rPr>
          <w:rFonts w:hint="cs"/>
          <w:b/>
          <w:bCs/>
          <w:sz w:val="24"/>
          <w:szCs w:val="32"/>
          <w:rtl/>
          <w:lang w:val="en-US"/>
        </w:rPr>
        <w:t xml:space="preserve">مقدمه دهم </w:t>
      </w:r>
      <w:r w:rsidR="00A11113">
        <w:rPr>
          <w:rFonts w:hint="cs"/>
          <w:b/>
          <w:bCs/>
          <w:sz w:val="24"/>
          <w:szCs w:val="32"/>
          <w:rtl/>
          <w:lang w:val="en-US"/>
        </w:rPr>
        <w:t>؛ تزاح</w:t>
      </w:r>
      <w:r w:rsidR="005E3267">
        <w:rPr>
          <w:rFonts w:hint="cs"/>
          <w:b/>
          <w:bCs/>
          <w:sz w:val="24"/>
          <w:szCs w:val="32"/>
          <w:rtl/>
          <w:lang w:val="en-US"/>
        </w:rPr>
        <w:t>ـ</w:t>
      </w:r>
      <w:r w:rsidR="00A11113">
        <w:rPr>
          <w:rFonts w:hint="cs"/>
          <w:b/>
          <w:bCs/>
          <w:sz w:val="24"/>
          <w:szCs w:val="32"/>
          <w:rtl/>
          <w:lang w:val="en-US"/>
        </w:rPr>
        <w:t>م ملاکی</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A759B1" w:rsidRDefault="007D4597" w:rsidP="00AF1927">
          <w:pPr>
            <w:pStyle w:val="TOCHeading"/>
            <w:bidi/>
            <w:jc w:val="center"/>
            <w:rPr>
              <w:rFonts w:ascii="Badr" w:hAnsi="Badr" w:cs="Badr"/>
              <w:b/>
              <w:bCs/>
              <w:color w:val="auto"/>
              <w:sz w:val="24"/>
              <w:szCs w:val="24"/>
            </w:rPr>
          </w:pPr>
          <w:r w:rsidRPr="00AF1927">
            <w:rPr>
              <w:rFonts w:ascii="Badr" w:hAnsi="Badr" w:cs="Badr"/>
              <w:b/>
              <w:bCs/>
              <w:color w:val="auto"/>
              <w:sz w:val="24"/>
              <w:szCs w:val="24"/>
              <w:rtl/>
            </w:rPr>
            <w:t>فهرست</w:t>
          </w:r>
        </w:p>
        <w:p w14:paraId="5B2DD1C7" w14:textId="2B6C4FCE" w:rsidR="00A759B1" w:rsidRPr="00A759B1" w:rsidRDefault="000B734B" w:rsidP="00A759B1">
          <w:pPr>
            <w:pStyle w:val="TOC1"/>
            <w:rPr>
              <w:rFonts w:ascii="Badr" w:hAnsi="Badr" w:cs="Badr"/>
              <w:b/>
              <w:bCs/>
              <w:noProof/>
              <w:sz w:val="24"/>
              <w:szCs w:val="24"/>
              <w:lang w:bidi="ar-SA"/>
            </w:rPr>
          </w:pPr>
          <w:r w:rsidRPr="00A759B1">
            <w:rPr>
              <w:rFonts w:ascii="Badr" w:hAnsi="Badr" w:cs="Badr"/>
              <w:b/>
              <w:bCs/>
              <w:sz w:val="24"/>
              <w:szCs w:val="24"/>
            </w:rPr>
            <w:fldChar w:fldCharType="begin"/>
          </w:r>
          <w:r w:rsidRPr="00A759B1">
            <w:rPr>
              <w:rFonts w:ascii="Badr" w:hAnsi="Badr" w:cs="Badr"/>
              <w:b/>
              <w:bCs/>
              <w:sz w:val="24"/>
              <w:szCs w:val="24"/>
            </w:rPr>
            <w:instrText xml:space="preserve"> TOC \o "1-6" \h \z \u </w:instrText>
          </w:r>
          <w:r w:rsidRPr="00A759B1">
            <w:rPr>
              <w:rFonts w:ascii="Badr" w:hAnsi="Badr" w:cs="Badr"/>
              <w:b/>
              <w:bCs/>
              <w:sz w:val="24"/>
              <w:szCs w:val="24"/>
            </w:rPr>
            <w:fldChar w:fldCharType="separate"/>
          </w:r>
          <w:hyperlink w:anchor="_Toc213094945" w:history="1">
            <w:r w:rsidR="00A759B1" w:rsidRPr="00A759B1">
              <w:rPr>
                <w:rStyle w:val="Hyperlink"/>
                <w:rFonts w:ascii="Badr" w:hAnsi="Badr" w:cs="Badr"/>
                <w:b/>
                <w:bCs/>
                <w:noProof/>
                <w:sz w:val="24"/>
                <w:szCs w:val="24"/>
                <w:rtl/>
              </w:rPr>
              <w:t>طریق سوم برای تصحیح عمل و حصول امتثال</w:t>
            </w:r>
            <w:r w:rsidR="00A759B1" w:rsidRPr="00A759B1">
              <w:rPr>
                <w:rFonts w:ascii="Badr" w:hAnsi="Badr" w:cs="Badr"/>
                <w:b/>
                <w:bCs/>
                <w:noProof/>
                <w:webHidden/>
                <w:sz w:val="24"/>
                <w:szCs w:val="24"/>
              </w:rPr>
              <w:tab/>
            </w:r>
            <w:r w:rsidR="00A759B1" w:rsidRPr="00A759B1">
              <w:rPr>
                <w:rFonts w:ascii="Badr" w:hAnsi="Badr" w:cs="Badr"/>
                <w:b/>
                <w:bCs/>
                <w:noProof/>
                <w:webHidden/>
                <w:sz w:val="24"/>
                <w:szCs w:val="24"/>
              </w:rPr>
              <w:fldChar w:fldCharType="begin"/>
            </w:r>
            <w:r w:rsidR="00A759B1" w:rsidRPr="00A759B1">
              <w:rPr>
                <w:rFonts w:ascii="Badr" w:hAnsi="Badr" w:cs="Badr"/>
                <w:b/>
                <w:bCs/>
                <w:noProof/>
                <w:webHidden/>
                <w:sz w:val="24"/>
                <w:szCs w:val="24"/>
              </w:rPr>
              <w:instrText xml:space="preserve"> PAGEREF _Toc213094945 \h </w:instrText>
            </w:r>
            <w:r w:rsidR="00A759B1" w:rsidRPr="00A759B1">
              <w:rPr>
                <w:rFonts w:ascii="Badr" w:hAnsi="Badr" w:cs="Badr"/>
                <w:b/>
                <w:bCs/>
                <w:noProof/>
                <w:webHidden/>
                <w:sz w:val="24"/>
                <w:szCs w:val="24"/>
              </w:rPr>
            </w:r>
            <w:r w:rsidR="00A759B1" w:rsidRPr="00A759B1">
              <w:rPr>
                <w:rFonts w:ascii="Badr" w:hAnsi="Badr" w:cs="Badr"/>
                <w:b/>
                <w:bCs/>
                <w:noProof/>
                <w:webHidden/>
                <w:sz w:val="24"/>
                <w:szCs w:val="24"/>
              </w:rPr>
              <w:fldChar w:fldCharType="separate"/>
            </w:r>
            <w:r w:rsidR="00A759B1" w:rsidRPr="00A759B1">
              <w:rPr>
                <w:rFonts w:ascii="Badr" w:hAnsi="Badr" w:cs="Badr"/>
                <w:b/>
                <w:bCs/>
                <w:noProof/>
                <w:webHidden/>
                <w:sz w:val="24"/>
                <w:szCs w:val="24"/>
              </w:rPr>
              <w:t>1</w:t>
            </w:r>
            <w:r w:rsidR="00A759B1" w:rsidRPr="00A759B1">
              <w:rPr>
                <w:rFonts w:ascii="Badr" w:hAnsi="Badr" w:cs="Badr"/>
                <w:b/>
                <w:bCs/>
                <w:noProof/>
                <w:webHidden/>
                <w:sz w:val="24"/>
                <w:szCs w:val="24"/>
              </w:rPr>
              <w:fldChar w:fldCharType="end"/>
            </w:r>
          </w:hyperlink>
        </w:p>
        <w:p w14:paraId="07D59F34" w14:textId="1660F646" w:rsidR="00A759B1" w:rsidRPr="00A759B1" w:rsidRDefault="00A759B1" w:rsidP="00A759B1">
          <w:pPr>
            <w:pStyle w:val="TOC2"/>
            <w:rPr>
              <w:rFonts w:ascii="Badr" w:hAnsi="Badr" w:cs="Badr"/>
              <w:b/>
              <w:bCs/>
              <w:noProof/>
              <w:sz w:val="24"/>
              <w:szCs w:val="24"/>
              <w:lang w:bidi="ar-SA"/>
            </w:rPr>
          </w:pPr>
          <w:hyperlink w:anchor="_Toc213094946" w:history="1">
            <w:r w:rsidRPr="00A759B1">
              <w:rPr>
                <w:rStyle w:val="Hyperlink"/>
                <w:rFonts w:ascii="Badr" w:hAnsi="Badr" w:cs="Badr"/>
                <w:b/>
                <w:bCs/>
                <w:noProof/>
                <w:sz w:val="24"/>
                <w:szCs w:val="24"/>
                <w:rtl/>
              </w:rPr>
              <w:t>توضیح مطلب</w:t>
            </w:r>
            <w:r w:rsidRPr="00A759B1">
              <w:rPr>
                <w:rStyle w:val="Hyperlink"/>
                <w:rFonts w:ascii="Badr" w:hAnsi="Badr" w:cs="Badr"/>
                <w:b/>
                <w:bCs/>
                <w:noProof/>
                <w:sz w:val="24"/>
                <w:szCs w:val="24"/>
              </w:rPr>
              <w:t>:</w:t>
            </w:r>
            <w:r w:rsidRPr="00A759B1">
              <w:rPr>
                <w:rFonts w:ascii="Badr" w:hAnsi="Badr" w:cs="Badr"/>
                <w:b/>
                <w:bCs/>
                <w:noProof/>
                <w:webHidden/>
                <w:sz w:val="24"/>
                <w:szCs w:val="24"/>
              </w:rPr>
              <w:tab/>
            </w:r>
            <w:r w:rsidRPr="00A759B1">
              <w:rPr>
                <w:rFonts w:ascii="Badr" w:hAnsi="Badr" w:cs="Badr"/>
                <w:b/>
                <w:bCs/>
                <w:noProof/>
                <w:webHidden/>
                <w:sz w:val="24"/>
                <w:szCs w:val="24"/>
              </w:rPr>
              <w:fldChar w:fldCharType="begin"/>
            </w:r>
            <w:r w:rsidRPr="00A759B1">
              <w:rPr>
                <w:rFonts w:ascii="Badr" w:hAnsi="Badr" w:cs="Badr"/>
                <w:b/>
                <w:bCs/>
                <w:noProof/>
                <w:webHidden/>
                <w:sz w:val="24"/>
                <w:szCs w:val="24"/>
              </w:rPr>
              <w:instrText xml:space="preserve"> PAGEREF _Toc213094946 \h </w:instrText>
            </w:r>
            <w:r w:rsidRPr="00A759B1">
              <w:rPr>
                <w:rFonts w:ascii="Badr" w:hAnsi="Badr" w:cs="Badr"/>
                <w:b/>
                <w:bCs/>
                <w:noProof/>
                <w:webHidden/>
                <w:sz w:val="24"/>
                <w:szCs w:val="24"/>
              </w:rPr>
            </w:r>
            <w:r w:rsidRPr="00A759B1">
              <w:rPr>
                <w:rFonts w:ascii="Badr" w:hAnsi="Badr" w:cs="Badr"/>
                <w:b/>
                <w:bCs/>
                <w:noProof/>
                <w:webHidden/>
                <w:sz w:val="24"/>
                <w:szCs w:val="24"/>
              </w:rPr>
              <w:fldChar w:fldCharType="separate"/>
            </w:r>
            <w:r w:rsidRPr="00A759B1">
              <w:rPr>
                <w:rFonts w:ascii="Badr" w:hAnsi="Badr" w:cs="Badr"/>
                <w:b/>
                <w:bCs/>
                <w:noProof/>
                <w:webHidden/>
                <w:sz w:val="24"/>
                <w:szCs w:val="24"/>
              </w:rPr>
              <w:t>1</w:t>
            </w:r>
            <w:r w:rsidRPr="00A759B1">
              <w:rPr>
                <w:rFonts w:ascii="Badr" w:hAnsi="Badr" w:cs="Badr"/>
                <w:b/>
                <w:bCs/>
                <w:noProof/>
                <w:webHidden/>
                <w:sz w:val="24"/>
                <w:szCs w:val="24"/>
              </w:rPr>
              <w:fldChar w:fldCharType="end"/>
            </w:r>
          </w:hyperlink>
        </w:p>
        <w:p w14:paraId="2949548D" w14:textId="3D831509" w:rsidR="00A759B1" w:rsidRPr="00A759B1" w:rsidRDefault="00A759B1" w:rsidP="00A759B1">
          <w:pPr>
            <w:pStyle w:val="TOC2"/>
            <w:rPr>
              <w:rFonts w:ascii="Badr" w:hAnsi="Badr" w:cs="Badr"/>
              <w:b/>
              <w:bCs/>
              <w:noProof/>
              <w:sz w:val="24"/>
              <w:szCs w:val="24"/>
              <w:lang w:bidi="ar-SA"/>
            </w:rPr>
          </w:pPr>
          <w:hyperlink w:anchor="_Toc213094947" w:history="1">
            <w:r w:rsidRPr="00A759B1">
              <w:rPr>
                <w:rStyle w:val="Hyperlink"/>
                <w:rFonts w:ascii="Badr" w:hAnsi="Badr" w:cs="Badr"/>
                <w:b/>
                <w:bCs/>
                <w:noProof/>
                <w:sz w:val="24"/>
                <w:szCs w:val="24"/>
                <w:rtl/>
              </w:rPr>
              <w:t>اشکال و پاسخ</w:t>
            </w:r>
            <w:r w:rsidRPr="00A759B1">
              <w:rPr>
                <w:rFonts w:ascii="Badr" w:hAnsi="Badr" w:cs="Badr"/>
                <w:b/>
                <w:bCs/>
                <w:noProof/>
                <w:webHidden/>
                <w:sz w:val="24"/>
                <w:szCs w:val="24"/>
              </w:rPr>
              <w:tab/>
            </w:r>
            <w:r w:rsidRPr="00A759B1">
              <w:rPr>
                <w:rFonts w:ascii="Badr" w:hAnsi="Badr" w:cs="Badr"/>
                <w:b/>
                <w:bCs/>
                <w:noProof/>
                <w:webHidden/>
                <w:sz w:val="24"/>
                <w:szCs w:val="24"/>
              </w:rPr>
              <w:fldChar w:fldCharType="begin"/>
            </w:r>
            <w:r w:rsidRPr="00A759B1">
              <w:rPr>
                <w:rFonts w:ascii="Badr" w:hAnsi="Badr" w:cs="Badr"/>
                <w:b/>
                <w:bCs/>
                <w:noProof/>
                <w:webHidden/>
                <w:sz w:val="24"/>
                <w:szCs w:val="24"/>
              </w:rPr>
              <w:instrText xml:space="preserve"> PAGEREF _Toc213094947 \h </w:instrText>
            </w:r>
            <w:r w:rsidRPr="00A759B1">
              <w:rPr>
                <w:rFonts w:ascii="Badr" w:hAnsi="Badr" w:cs="Badr"/>
                <w:b/>
                <w:bCs/>
                <w:noProof/>
                <w:webHidden/>
                <w:sz w:val="24"/>
                <w:szCs w:val="24"/>
              </w:rPr>
            </w:r>
            <w:r w:rsidRPr="00A759B1">
              <w:rPr>
                <w:rFonts w:ascii="Badr" w:hAnsi="Badr" w:cs="Badr"/>
                <w:b/>
                <w:bCs/>
                <w:noProof/>
                <w:webHidden/>
                <w:sz w:val="24"/>
                <w:szCs w:val="24"/>
              </w:rPr>
              <w:fldChar w:fldCharType="separate"/>
            </w:r>
            <w:r w:rsidRPr="00A759B1">
              <w:rPr>
                <w:rFonts w:ascii="Badr" w:hAnsi="Badr" w:cs="Badr"/>
                <w:b/>
                <w:bCs/>
                <w:noProof/>
                <w:webHidden/>
                <w:sz w:val="24"/>
                <w:szCs w:val="24"/>
              </w:rPr>
              <w:t>2</w:t>
            </w:r>
            <w:r w:rsidRPr="00A759B1">
              <w:rPr>
                <w:rFonts w:ascii="Badr" w:hAnsi="Badr" w:cs="Badr"/>
                <w:b/>
                <w:bCs/>
                <w:noProof/>
                <w:webHidden/>
                <w:sz w:val="24"/>
                <w:szCs w:val="24"/>
              </w:rPr>
              <w:fldChar w:fldCharType="end"/>
            </w:r>
          </w:hyperlink>
        </w:p>
        <w:p w14:paraId="7D3D63B6" w14:textId="30F7E5C5" w:rsidR="00A759B1" w:rsidRPr="00A759B1" w:rsidRDefault="00A759B1" w:rsidP="00A759B1">
          <w:pPr>
            <w:pStyle w:val="TOC1"/>
            <w:rPr>
              <w:rFonts w:ascii="Badr" w:hAnsi="Badr" w:cs="Badr"/>
              <w:b/>
              <w:bCs/>
              <w:noProof/>
              <w:sz w:val="24"/>
              <w:szCs w:val="24"/>
              <w:lang w:bidi="ar-SA"/>
            </w:rPr>
          </w:pPr>
          <w:hyperlink w:anchor="_Toc213094948" w:history="1">
            <w:r w:rsidRPr="00A759B1">
              <w:rPr>
                <w:rStyle w:val="Hyperlink"/>
                <w:rFonts w:ascii="Badr" w:hAnsi="Badr" w:cs="Badr"/>
                <w:b/>
                <w:bCs/>
                <w:noProof/>
                <w:sz w:val="24"/>
                <w:szCs w:val="24"/>
                <w:rtl/>
              </w:rPr>
              <w:t>جمع‌بندی بحث ثمره نزاع</w:t>
            </w:r>
            <w:r w:rsidRPr="00A759B1">
              <w:rPr>
                <w:rFonts w:ascii="Badr" w:hAnsi="Badr" w:cs="Badr"/>
                <w:b/>
                <w:bCs/>
                <w:noProof/>
                <w:webHidden/>
                <w:sz w:val="24"/>
                <w:szCs w:val="24"/>
              </w:rPr>
              <w:tab/>
            </w:r>
            <w:r w:rsidRPr="00A759B1">
              <w:rPr>
                <w:rFonts w:ascii="Badr" w:hAnsi="Badr" w:cs="Badr"/>
                <w:b/>
                <w:bCs/>
                <w:noProof/>
                <w:webHidden/>
                <w:sz w:val="24"/>
                <w:szCs w:val="24"/>
              </w:rPr>
              <w:fldChar w:fldCharType="begin"/>
            </w:r>
            <w:r w:rsidRPr="00A759B1">
              <w:rPr>
                <w:rFonts w:ascii="Badr" w:hAnsi="Badr" w:cs="Badr"/>
                <w:b/>
                <w:bCs/>
                <w:noProof/>
                <w:webHidden/>
                <w:sz w:val="24"/>
                <w:szCs w:val="24"/>
              </w:rPr>
              <w:instrText xml:space="preserve"> PAGEREF _Toc213094948 \h </w:instrText>
            </w:r>
            <w:r w:rsidRPr="00A759B1">
              <w:rPr>
                <w:rFonts w:ascii="Badr" w:hAnsi="Badr" w:cs="Badr"/>
                <w:b/>
                <w:bCs/>
                <w:noProof/>
                <w:webHidden/>
                <w:sz w:val="24"/>
                <w:szCs w:val="24"/>
              </w:rPr>
            </w:r>
            <w:r w:rsidRPr="00A759B1">
              <w:rPr>
                <w:rFonts w:ascii="Badr" w:hAnsi="Badr" w:cs="Badr"/>
                <w:b/>
                <w:bCs/>
                <w:noProof/>
                <w:webHidden/>
                <w:sz w:val="24"/>
                <w:szCs w:val="24"/>
              </w:rPr>
              <w:fldChar w:fldCharType="separate"/>
            </w:r>
            <w:r w:rsidRPr="00A759B1">
              <w:rPr>
                <w:rFonts w:ascii="Badr" w:hAnsi="Badr" w:cs="Badr"/>
                <w:b/>
                <w:bCs/>
                <w:noProof/>
                <w:webHidden/>
                <w:sz w:val="24"/>
                <w:szCs w:val="24"/>
              </w:rPr>
              <w:t>2</w:t>
            </w:r>
            <w:r w:rsidRPr="00A759B1">
              <w:rPr>
                <w:rFonts w:ascii="Badr" w:hAnsi="Badr" w:cs="Badr"/>
                <w:b/>
                <w:bCs/>
                <w:noProof/>
                <w:webHidden/>
                <w:sz w:val="24"/>
                <w:szCs w:val="24"/>
              </w:rPr>
              <w:fldChar w:fldCharType="end"/>
            </w:r>
          </w:hyperlink>
        </w:p>
        <w:p w14:paraId="3052A01E" w14:textId="372729B0" w:rsidR="00E90535" w:rsidRPr="00E90535" w:rsidRDefault="000B734B" w:rsidP="00AF1927">
          <w:pPr>
            <w:rPr>
              <w:rFonts w:ascii="Badr" w:hAnsi="Badr"/>
              <w:b/>
              <w:bCs/>
              <w:noProof/>
            </w:rPr>
          </w:pPr>
          <w:r w:rsidRPr="00A759B1">
            <w:rPr>
              <w:rFonts w:ascii="Badr" w:eastAsiaTheme="minorEastAsia" w:hAnsi="Badr"/>
              <w:b/>
              <w:bCs/>
              <w:sz w:val="24"/>
              <w:szCs w:val="24"/>
              <w:lang w:val="en-US"/>
            </w:rPr>
            <w:fldChar w:fldCharType="end"/>
          </w:r>
        </w:p>
      </w:sdtContent>
    </w:sdt>
    <w:p w14:paraId="741AB159" w14:textId="29532EE2" w:rsidR="00A759B1" w:rsidRPr="00A759B1" w:rsidRDefault="00A759B1" w:rsidP="00A759B1">
      <w:pPr>
        <w:pStyle w:val="Heading1"/>
        <w:rPr>
          <w:noProof/>
          <w:lang w:val="en-US" w:bidi="ar-SA"/>
        </w:rPr>
      </w:pPr>
      <w:bookmarkStart w:id="0" w:name="_Toc213094945"/>
      <w:r w:rsidRPr="00A759B1">
        <w:rPr>
          <w:noProof/>
          <w:rtl/>
          <w:lang w:val="en-US" w:bidi="ar-SA"/>
        </w:rPr>
        <w:t>طریق سوم برای تصحیح عمل و حصول امتثال</w:t>
      </w:r>
      <w:bookmarkEnd w:id="0"/>
    </w:p>
    <w:p w14:paraId="3F128663" w14:textId="77777777" w:rsidR="00A759B1" w:rsidRPr="00A759B1" w:rsidRDefault="00A759B1" w:rsidP="00A759B1">
      <w:pPr>
        <w:rPr>
          <w:noProof/>
          <w:lang w:val="en-US"/>
        </w:rPr>
      </w:pPr>
      <w:r w:rsidRPr="00A759B1">
        <w:rPr>
          <w:noProof/>
          <w:rtl/>
          <w:lang w:val="en-US" w:bidi="ar-SA"/>
        </w:rPr>
        <w:t>طریق سومی که در کلمات مرحوم آخوند برای تصحیح عمل و حصول امتثال در فرض پنجم (امکان، تقدیم جانب نهی، و عدم تنجز حرمت) بیان شده، مبتنی بر این است که در مجمع، امر وجود دارد، اما این امر، امر ضمنی است، نه امر استقلالی</w:t>
      </w:r>
      <w:r w:rsidRPr="00A759B1">
        <w:rPr>
          <w:noProof/>
          <w:lang w:val="en-US"/>
        </w:rPr>
        <w:t>.</w:t>
      </w:r>
    </w:p>
    <w:p w14:paraId="44BA62E6" w14:textId="77777777" w:rsidR="00A759B1" w:rsidRPr="00A759B1" w:rsidRDefault="00A759B1" w:rsidP="00A759B1">
      <w:pPr>
        <w:pStyle w:val="Heading2"/>
        <w:rPr>
          <w:noProof/>
          <w:lang w:val="en-US"/>
        </w:rPr>
      </w:pPr>
      <w:bookmarkStart w:id="1" w:name="_Toc213094946"/>
      <w:r w:rsidRPr="00A759B1">
        <w:rPr>
          <w:noProof/>
          <w:rtl/>
          <w:lang w:val="en-US" w:bidi="ar-SA"/>
        </w:rPr>
        <w:t>توضیح مطلب</w:t>
      </w:r>
      <w:r w:rsidRPr="00A759B1">
        <w:rPr>
          <w:noProof/>
          <w:lang w:val="en-US"/>
        </w:rPr>
        <w:t>:</w:t>
      </w:r>
      <w:bookmarkEnd w:id="1"/>
    </w:p>
    <w:p w14:paraId="3D70F0B7" w14:textId="77777777" w:rsidR="00A759B1" w:rsidRPr="00A759B1" w:rsidRDefault="00A759B1" w:rsidP="00A759B1">
      <w:pPr>
        <w:rPr>
          <w:noProof/>
          <w:lang w:val="en-US"/>
        </w:rPr>
      </w:pPr>
      <w:r w:rsidRPr="00A759B1">
        <w:rPr>
          <w:noProof/>
          <w:rtl/>
          <w:lang w:val="en-US" w:bidi="ar-SA"/>
        </w:rPr>
        <w:t>مرحوم آخوند می‌فرمایند در مواردی که دو خطاب داریم، مانند «صلّ» و «لا تغصب»، هر یک از این دو خطاب، به خودی خود اطلاق دارد و شامل تمام افراد موضوعش می‌شود، از جمله ماده اجتماع. اما در ماده اجتماع، چون امر و نهی با هم مجتمع شده‌اند، یک طرف بر طرف دیگر مقدم می‌شود. در فرض پنجم، ما جانب نهی را بر امر مقدم کرده‌ایم. با تقدیم جانب نهی، اطلاق امر از بین می‌رود و مقید می‌شود به غیر ماده اجتماع</w:t>
      </w:r>
      <w:r w:rsidRPr="00A759B1">
        <w:rPr>
          <w:noProof/>
          <w:lang w:val="en-US"/>
        </w:rPr>
        <w:t>.</w:t>
      </w:r>
    </w:p>
    <w:p w14:paraId="30CF6A2F" w14:textId="77777777" w:rsidR="00A759B1" w:rsidRPr="00A759B1" w:rsidRDefault="00A759B1" w:rsidP="00A759B1">
      <w:pPr>
        <w:rPr>
          <w:noProof/>
          <w:lang w:val="en-US"/>
        </w:rPr>
      </w:pPr>
      <w:r w:rsidRPr="00A759B1">
        <w:rPr>
          <w:noProof/>
          <w:rtl/>
          <w:lang w:val="en-US" w:bidi="ar-SA"/>
        </w:rPr>
        <w:t>بنابراین، امر استقلالی که به طبیعت صلات تعلق گرفته بود، شامل صلات در دار غصبی نمی‌شود. اما این بدان معنا نیست که در مجمع، هیچ امری وجود ندارد. بلکه در اینجا، ما باید قائل به وجود امر ضمنی شویم. چگونه؟</w:t>
      </w:r>
    </w:p>
    <w:p w14:paraId="20294E6A" w14:textId="77777777" w:rsidR="00A759B1" w:rsidRPr="00A759B1" w:rsidRDefault="00A759B1" w:rsidP="00A759B1">
      <w:pPr>
        <w:rPr>
          <w:noProof/>
          <w:lang w:val="en-US"/>
        </w:rPr>
      </w:pPr>
      <w:r w:rsidRPr="00A759B1">
        <w:rPr>
          <w:noProof/>
          <w:rtl/>
          <w:lang w:val="en-US" w:bidi="ar-SA"/>
        </w:rPr>
        <w:lastRenderedPageBreak/>
        <w:t>ایشان می‌فرمایند که در این موارد، ما یک امر سومی داریم که به عنوان «وافی به هر دو غرض» شناخته می‌شود. مثلاً در «صلّ» و «لا تغصب»، ما یک امر سومی داریم به این صورت که «صلاتی را بیاور که غصب نباشد» یا «مجموع صلات و ترک غصب را بیاور». این امر سوم، هم غرض امر را تأمین می‌کند و هم غرض نهی را</w:t>
      </w:r>
      <w:r w:rsidRPr="00A759B1">
        <w:rPr>
          <w:noProof/>
          <w:lang w:val="en-US"/>
        </w:rPr>
        <w:t>.</w:t>
      </w:r>
    </w:p>
    <w:p w14:paraId="6BB1FAF8" w14:textId="77777777" w:rsidR="00A759B1" w:rsidRPr="00A759B1" w:rsidRDefault="00A759B1" w:rsidP="00A759B1">
      <w:pPr>
        <w:rPr>
          <w:noProof/>
          <w:lang w:val="en-US"/>
        </w:rPr>
      </w:pPr>
      <w:r w:rsidRPr="00A759B1">
        <w:rPr>
          <w:noProof/>
          <w:rtl/>
          <w:lang w:val="en-US" w:bidi="ar-SA"/>
        </w:rPr>
        <w:t>وقتی این امر سوم وجود داشت، این امر به این مرکب (صلات غیر غصبی) تعلق گرفته است. این مرکب، دارای دو جزء است: صلات، و ترک غصب. هر یک از این دو جزء، به تبع امر به مرکب، مورد امر ضمنی قرار می‌گیرند. بنابراین، در صلات در دار غصبی، امر ضمنی وجود دارد، هرچند امر استقلالی ساقط شده باشد</w:t>
      </w:r>
      <w:r w:rsidRPr="00A759B1">
        <w:rPr>
          <w:noProof/>
          <w:lang w:val="en-US"/>
        </w:rPr>
        <w:t>.</w:t>
      </w:r>
    </w:p>
    <w:p w14:paraId="25F5DA5B" w14:textId="77777777" w:rsidR="00A759B1" w:rsidRPr="00A759B1" w:rsidRDefault="00A759B1" w:rsidP="00A759B1">
      <w:pPr>
        <w:rPr>
          <w:noProof/>
          <w:lang w:val="en-US"/>
        </w:rPr>
      </w:pPr>
      <w:r w:rsidRPr="00A759B1">
        <w:rPr>
          <w:noProof/>
          <w:rtl/>
          <w:lang w:val="en-US" w:bidi="ar-SA"/>
        </w:rPr>
        <w:t>با وجود این امر ضمنی، اگر مکلف در فرض جهل قصوری یا نسیان، صلات در دار غصبی را به قصد قربت انجام دهد، این عمل، مصداق امتثال همان امر ضمنی خواهد بود و در نتیجه، صحیح است و موجب سقوط امر می‌شود</w:t>
      </w:r>
      <w:r w:rsidRPr="00A759B1">
        <w:rPr>
          <w:noProof/>
          <w:lang w:val="en-US"/>
        </w:rPr>
        <w:t>.</w:t>
      </w:r>
    </w:p>
    <w:p w14:paraId="63C69C04" w14:textId="77777777" w:rsidR="00A759B1" w:rsidRPr="00A759B1" w:rsidRDefault="00A759B1" w:rsidP="00A759B1">
      <w:pPr>
        <w:rPr>
          <w:noProof/>
          <w:lang w:val="en-US"/>
        </w:rPr>
      </w:pPr>
      <w:r w:rsidRPr="00A759B1">
        <w:rPr>
          <w:noProof/>
          <w:rtl/>
          <w:lang w:val="en-US" w:bidi="ar-SA"/>
        </w:rPr>
        <w:t>این طریق سوم، در حقیقت، همان چیزی است که مرحوم نائینی در بحث ترتب به آن اشاره کرده‌اند و مرحوم آخوند نیز در اینجا به آن تمسک جسته‌اند</w:t>
      </w:r>
      <w:r w:rsidRPr="00A759B1">
        <w:rPr>
          <w:noProof/>
          <w:lang w:val="en-US"/>
        </w:rPr>
        <w:t>.</w:t>
      </w:r>
    </w:p>
    <w:p w14:paraId="555C1FD1" w14:textId="77777777" w:rsidR="00A759B1" w:rsidRPr="00A759B1" w:rsidRDefault="00A759B1" w:rsidP="00A759B1">
      <w:pPr>
        <w:pStyle w:val="Heading2"/>
        <w:rPr>
          <w:noProof/>
          <w:lang w:val="en-US"/>
        </w:rPr>
      </w:pPr>
      <w:bookmarkStart w:id="2" w:name="_Toc213094947"/>
      <w:r w:rsidRPr="00A759B1">
        <w:rPr>
          <w:noProof/>
          <w:rtl/>
          <w:lang w:val="en-US" w:bidi="ar-SA"/>
        </w:rPr>
        <w:t>اشکال و پاسخ</w:t>
      </w:r>
      <w:bookmarkEnd w:id="2"/>
    </w:p>
    <w:p w14:paraId="4A3D7103" w14:textId="77777777" w:rsidR="00A759B1" w:rsidRPr="00A759B1" w:rsidRDefault="00A759B1" w:rsidP="00A759B1">
      <w:pPr>
        <w:rPr>
          <w:noProof/>
          <w:lang w:val="en-US"/>
        </w:rPr>
      </w:pPr>
      <w:r w:rsidRPr="00A759B1">
        <w:rPr>
          <w:noProof/>
          <w:rtl/>
          <w:lang w:val="en-US" w:bidi="ar-SA"/>
        </w:rPr>
        <w:t>به این طریق سوم، اشکال شده است که امر ضمنی، در صورتی می‌تواند موجب صحت عمل شود که این امر، فعلیت داشته باشد. در حالی که در اینجا، امر ضمنی به صلات در دار غصبی، فعلیت ندارد. زیرا امر ضمنی، تابع امر استقلالی به مرکب است. امر استقلالی به مرکب، در صورتی فعلیت می‌یابد که مکلف، قدرت بر امتثال تمام اجزاء مرکب را داشته باشد. در حالی که در فرض بحث، مکلف، قدرت بر امتثال جزء دوم (ترک غصب) را ندارد (چون در دار غصبی است). پس امر به مرکب، فعلیت ندارد و در نتیجه، امر ضمنی به صلات نیز فعلیت نخواهد داشت</w:t>
      </w:r>
      <w:r w:rsidRPr="00A759B1">
        <w:rPr>
          <w:noProof/>
          <w:lang w:val="en-US"/>
        </w:rPr>
        <w:t>.</w:t>
      </w:r>
    </w:p>
    <w:p w14:paraId="322562FF" w14:textId="0DE3BCEA" w:rsidR="00A759B1" w:rsidRDefault="00A759B1" w:rsidP="00A759B1">
      <w:pPr>
        <w:rPr>
          <w:noProof/>
          <w:rtl/>
          <w:lang w:val="en-US"/>
        </w:rPr>
      </w:pPr>
      <w:r w:rsidRPr="00A759B1">
        <w:rPr>
          <w:noProof/>
          <w:rtl/>
          <w:lang w:val="en-US" w:bidi="ar-SA"/>
        </w:rPr>
        <w:t>مرحوم آخوند در پاسخ به این اشکال، می‌فرمایند که فعلیت امر ضمنی، منوط به فعلیت امر به تمام اجزاء مرکب نیست. بلکه همین که امر به یک جزء (صلات) فعلیت داشته باشد، برای صحت عمل کافی است. در اینجا، امر به صلات، به عنوان یک جزء، فعلیت دارد و مکلف نیز به قصد همین امر ضمنی، عمل را انجام داده است. پس عمل او صحیح است</w:t>
      </w:r>
      <w:r w:rsidRPr="00A759B1">
        <w:rPr>
          <w:noProof/>
          <w:lang w:val="en-US"/>
        </w:rPr>
        <w:t>.</w:t>
      </w:r>
    </w:p>
    <w:p w14:paraId="74D32263" w14:textId="62DB37CF" w:rsidR="00A759B1" w:rsidRDefault="00A759B1" w:rsidP="00A759B1">
      <w:pPr>
        <w:rPr>
          <w:noProof/>
          <w:rtl/>
          <w:lang w:val="en-US"/>
        </w:rPr>
      </w:pPr>
    </w:p>
    <w:p w14:paraId="0EF8E62E" w14:textId="77777777" w:rsidR="00A759B1" w:rsidRPr="00A759B1" w:rsidRDefault="00A759B1" w:rsidP="00A759B1">
      <w:pPr>
        <w:rPr>
          <w:noProof/>
          <w:lang w:val="en-US"/>
        </w:rPr>
      </w:pPr>
    </w:p>
    <w:p w14:paraId="5F53A17C" w14:textId="642F73EA" w:rsidR="00A759B1" w:rsidRPr="00A759B1" w:rsidRDefault="00A759B1" w:rsidP="00A759B1">
      <w:pPr>
        <w:pStyle w:val="Heading1"/>
        <w:rPr>
          <w:noProof/>
          <w:lang w:val="en-US"/>
        </w:rPr>
      </w:pPr>
      <w:bookmarkStart w:id="3" w:name="_Toc213094948"/>
      <w:r w:rsidRPr="00A759B1">
        <w:rPr>
          <w:noProof/>
          <w:rtl/>
          <w:lang w:val="en-US" w:bidi="ar-SA"/>
        </w:rPr>
        <w:lastRenderedPageBreak/>
        <w:t>جمع‌بندی بحث ثمره نزاع</w:t>
      </w:r>
      <w:bookmarkEnd w:id="3"/>
    </w:p>
    <w:p w14:paraId="2666EB83" w14:textId="77777777" w:rsidR="00A759B1" w:rsidRPr="00A759B1" w:rsidRDefault="00A759B1" w:rsidP="00A759B1">
      <w:pPr>
        <w:rPr>
          <w:noProof/>
          <w:lang w:val="en-US"/>
        </w:rPr>
      </w:pPr>
      <w:r w:rsidRPr="00A759B1">
        <w:rPr>
          <w:noProof/>
          <w:rtl/>
          <w:lang w:val="en-US" w:bidi="ar-SA"/>
        </w:rPr>
        <w:t>با توجه به آنچه گفته شد، ثمره نزاع در مسئله اجتماع امر و نهی، در پنج فرض قابل تصور است</w:t>
      </w:r>
      <w:r w:rsidRPr="00A759B1">
        <w:rPr>
          <w:noProof/>
          <w:lang w:val="en-US"/>
        </w:rPr>
        <w:t>:</w:t>
      </w:r>
    </w:p>
    <w:p w14:paraId="5565D5C8" w14:textId="77777777" w:rsidR="00A759B1" w:rsidRPr="00A759B1" w:rsidRDefault="00A759B1" w:rsidP="00A759B1">
      <w:pPr>
        <w:jc w:val="left"/>
        <w:rPr>
          <w:noProof/>
          <w:lang w:val="en-US"/>
        </w:rPr>
      </w:pPr>
      <w:r w:rsidRPr="00A759B1">
        <w:rPr>
          <w:noProof/>
          <w:rtl/>
          <w:lang w:val="en-US"/>
        </w:rPr>
        <w:t>۱</w:t>
      </w:r>
      <w:r w:rsidRPr="00A759B1">
        <w:rPr>
          <w:noProof/>
          <w:lang w:val="en-US"/>
        </w:rPr>
        <w:t xml:space="preserve">. </w:t>
      </w:r>
      <w:r w:rsidRPr="00A759B1">
        <w:rPr>
          <w:b/>
          <w:bCs/>
          <w:noProof/>
          <w:rtl/>
          <w:lang w:val="en-US" w:bidi="ar-SA"/>
        </w:rPr>
        <w:t>قول به جواز</w:t>
      </w:r>
      <w:r w:rsidRPr="00A759B1">
        <w:rPr>
          <w:b/>
          <w:bCs/>
          <w:noProof/>
          <w:lang w:val="en-US"/>
        </w:rPr>
        <w:t>:</w:t>
      </w:r>
      <w:r w:rsidRPr="00A759B1">
        <w:rPr>
          <w:noProof/>
          <w:lang w:val="en-US"/>
        </w:rPr>
        <w:t xml:space="preserve"> </w:t>
      </w:r>
      <w:r w:rsidRPr="00A759B1">
        <w:rPr>
          <w:noProof/>
          <w:rtl/>
          <w:lang w:val="en-US" w:bidi="ar-SA"/>
        </w:rPr>
        <w:t>در این صورت، عمل صحیح است و موجب امتثال امر می‌شود، هرچند معصیت نهی نیز محقق می‌گردد</w:t>
      </w:r>
      <w:r w:rsidRPr="00A759B1">
        <w:rPr>
          <w:noProof/>
          <w:lang w:val="en-US"/>
        </w:rPr>
        <w:t>.</w:t>
      </w:r>
      <w:r w:rsidRPr="00A759B1">
        <w:rPr>
          <w:noProof/>
          <w:lang w:val="en-US"/>
        </w:rPr>
        <w:br/>
      </w:r>
      <w:r w:rsidRPr="00A759B1">
        <w:rPr>
          <w:noProof/>
          <w:rtl/>
          <w:lang w:val="en-US"/>
        </w:rPr>
        <w:t>۲</w:t>
      </w:r>
      <w:r w:rsidRPr="00A759B1">
        <w:rPr>
          <w:noProof/>
          <w:lang w:val="en-US"/>
        </w:rPr>
        <w:t xml:space="preserve">. </w:t>
      </w:r>
      <w:r w:rsidRPr="00A759B1">
        <w:rPr>
          <w:b/>
          <w:bCs/>
          <w:noProof/>
          <w:rtl/>
          <w:lang w:val="en-US" w:bidi="ar-SA"/>
        </w:rPr>
        <w:t>قول به امتناع با تقدیم جانب امر</w:t>
      </w:r>
      <w:r w:rsidRPr="00A759B1">
        <w:rPr>
          <w:b/>
          <w:bCs/>
          <w:noProof/>
          <w:lang w:val="en-US"/>
        </w:rPr>
        <w:t>:</w:t>
      </w:r>
      <w:r w:rsidRPr="00A759B1">
        <w:rPr>
          <w:noProof/>
          <w:lang w:val="en-US"/>
        </w:rPr>
        <w:t xml:space="preserve"> </w:t>
      </w:r>
      <w:r w:rsidRPr="00A759B1">
        <w:rPr>
          <w:noProof/>
          <w:rtl/>
          <w:lang w:val="en-US" w:bidi="ar-SA"/>
        </w:rPr>
        <w:t>عمل صحیح است و فقط امتثال امر محقق می‌شود</w:t>
      </w:r>
      <w:r w:rsidRPr="00A759B1">
        <w:rPr>
          <w:noProof/>
          <w:lang w:val="en-US"/>
        </w:rPr>
        <w:t>.</w:t>
      </w:r>
      <w:r w:rsidRPr="00A759B1">
        <w:rPr>
          <w:noProof/>
          <w:lang w:val="en-US"/>
        </w:rPr>
        <w:br/>
      </w:r>
      <w:r w:rsidRPr="00A759B1">
        <w:rPr>
          <w:noProof/>
          <w:rtl/>
          <w:lang w:val="en-US"/>
        </w:rPr>
        <w:t>۳</w:t>
      </w:r>
      <w:r w:rsidRPr="00A759B1">
        <w:rPr>
          <w:noProof/>
          <w:lang w:val="en-US"/>
        </w:rPr>
        <w:t xml:space="preserve">. </w:t>
      </w:r>
      <w:r w:rsidRPr="00A759B1">
        <w:rPr>
          <w:b/>
          <w:bCs/>
          <w:noProof/>
          <w:rtl/>
          <w:lang w:val="en-US" w:bidi="ar-SA"/>
        </w:rPr>
        <w:t>قول به امتناع با تقدیم جانب نهی (عمل توصلی)</w:t>
      </w:r>
      <w:r w:rsidRPr="00A759B1">
        <w:rPr>
          <w:b/>
          <w:bCs/>
          <w:noProof/>
          <w:lang w:val="en-US"/>
        </w:rPr>
        <w:t>:</w:t>
      </w:r>
      <w:r w:rsidRPr="00A759B1">
        <w:rPr>
          <w:noProof/>
          <w:lang w:val="en-US"/>
        </w:rPr>
        <w:t xml:space="preserve"> </w:t>
      </w:r>
      <w:r w:rsidRPr="00A759B1">
        <w:rPr>
          <w:noProof/>
          <w:rtl/>
          <w:lang w:val="en-US" w:bidi="ar-SA"/>
        </w:rPr>
        <w:t>عمل صحیح است و موجب سقوط امر می‌شود، هرچند امتثال امر حساب نمی‌شود</w:t>
      </w:r>
      <w:r w:rsidRPr="00A759B1">
        <w:rPr>
          <w:noProof/>
          <w:lang w:val="en-US"/>
        </w:rPr>
        <w:t>.</w:t>
      </w:r>
      <w:r w:rsidRPr="00A759B1">
        <w:rPr>
          <w:noProof/>
          <w:lang w:val="en-US"/>
        </w:rPr>
        <w:br/>
      </w:r>
      <w:r w:rsidRPr="00A759B1">
        <w:rPr>
          <w:noProof/>
          <w:rtl/>
          <w:lang w:val="en-US"/>
        </w:rPr>
        <w:t>۴</w:t>
      </w:r>
      <w:r w:rsidRPr="00A759B1">
        <w:rPr>
          <w:noProof/>
          <w:lang w:val="en-US"/>
        </w:rPr>
        <w:t xml:space="preserve">. </w:t>
      </w:r>
      <w:r w:rsidRPr="00A759B1">
        <w:rPr>
          <w:b/>
          <w:bCs/>
          <w:noProof/>
          <w:rtl/>
          <w:lang w:val="en-US" w:bidi="ar-SA"/>
        </w:rPr>
        <w:t>قول به امتناع با تقدیم جانب نهی (عمل تعبدی با تنجز حرمت)</w:t>
      </w:r>
      <w:r w:rsidRPr="00A759B1">
        <w:rPr>
          <w:b/>
          <w:bCs/>
          <w:noProof/>
          <w:lang w:val="en-US"/>
        </w:rPr>
        <w:t>:</w:t>
      </w:r>
      <w:r w:rsidRPr="00A759B1">
        <w:rPr>
          <w:noProof/>
          <w:lang w:val="en-US"/>
        </w:rPr>
        <w:t xml:space="preserve"> </w:t>
      </w:r>
      <w:r w:rsidRPr="00A759B1">
        <w:rPr>
          <w:noProof/>
          <w:rtl/>
          <w:lang w:val="en-US" w:bidi="ar-SA"/>
        </w:rPr>
        <w:t>عمل باطل است</w:t>
      </w:r>
      <w:r w:rsidRPr="00A759B1">
        <w:rPr>
          <w:noProof/>
          <w:lang w:val="en-US"/>
        </w:rPr>
        <w:t>.</w:t>
      </w:r>
      <w:r w:rsidRPr="00A759B1">
        <w:rPr>
          <w:noProof/>
          <w:lang w:val="en-US"/>
        </w:rPr>
        <w:br/>
      </w:r>
      <w:r w:rsidRPr="00A759B1">
        <w:rPr>
          <w:noProof/>
          <w:rtl/>
          <w:lang w:val="en-US"/>
        </w:rPr>
        <w:t>۵</w:t>
      </w:r>
      <w:r w:rsidRPr="00A759B1">
        <w:rPr>
          <w:noProof/>
          <w:lang w:val="en-US"/>
        </w:rPr>
        <w:t xml:space="preserve">. </w:t>
      </w:r>
      <w:r w:rsidRPr="00A759B1">
        <w:rPr>
          <w:b/>
          <w:bCs/>
          <w:noProof/>
          <w:rtl/>
          <w:lang w:val="en-US" w:bidi="ar-SA"/>
        </w:rPr>
        <w:t>قول به امتناع با تقدیم جانب نهی (عمل تعبدی با عدم تنجز حرمت)</w:t>
      </w:r>
      <w:r w:rsidRPr="00A759B1">
        <w:rPr>
          <w:b/>
          <w:bCs/>
          <w:noProof/>
          <w:lang w:val="en-US"/>
        </w:rPr>
        <w:t>:</w:t>
      </w:r>
      <w:r w:rsidRPr="00A759B1">
        <w:rPr>
          <w:noProof/>
          <w:lang w:val="en-US"/>
        </w:rPr>
        <w:t xml:space="preserve"> </w:t>
      </w:r>
      <w:r w:rsidRPr="00A759B1">
        <w:rPr>
          <w:noProof/>
          <w:rtl/>
          <w:lang w:val="en-US" w:bidi="ar-SA"/>
        </w:rPr>
        <w:t>عمل صحیح است و موجب امتثال امر می‌شود</w:t>
      </w:r>
      <w:r w:rsidRPr="00A759B1">
        <w:rPr>
          <w:noProof/>
          <w:lang w:val="en-US"/>
        </w:rPr>
        <w:t>.</w:t>
      </w:r>
    </w:p>
    <w:p w14:paraId="3EC747A7" w14:textId="77777777" w:rsidR="00A759B1" w:rsidRPr="00A759B1" w:rsidRDefault="00A759B1" w:rsidP="00A759B1">
      <w:pPr>
        <w:jc w:val="left"/>
        <w:rPr>
          <w:noProof/>
          <w:lang w:val="en-US"/>
        </w:rPr>
      </w:pPr>
      <w:r w:rsidRPr="00A759B1">
        <w:rPr>
          <w:noProof/>
          <w:rtl/>
          <w:lang w:val="en-US" w:bidi="ar-SA"/>
        </w:rPr>
        <w:t>این خلاصه‌ای بود از کلام مرحوم آخوند در باب ثمره نزاع در مسئله اجتماع امر و نهی</w:t>
      </w:r>
      <w:r w:rsidRPr="00A759B1">
        <w:rPr>
          <w:noProof/>
          <w:lang w:val="en-US"/>
        </w:rPr>
        <w:t>.</w:t>
      </w:r>
    </w:p>
    <w:p w14:paraId="10523EC9" w14:textId="03B799DF" w:rsidR="00CE3328" w:rsidRPr="00A759B1" w:rsidRDefault="00CE3328" w:rsidP="00E90535">
      <w:pPr>
        <w:rPr>
          <w:noProof/>
          <w:rtl/>
          <w:lang w:val="en-US"/>
        </w:rPr>
      </w:pPr>
    </w:p>
    <w:sectPr w:rsidR="00CE3328" w:rsidRPr="00A759B1" w:rsidSect="003E7A9E">
      <w:footerReference w:type="default" r:id="rId8"/>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4ED6" w14:textId="77777777" w:rsidR="007B0DD1" w:rsidRDefault="007B0DD1" w:rsidP="00574D27">
      <w:pPr>
        <w:spacing w:after="0" w:line="240" w:lineRule="auto"/>
      </w:pPr>
      <w:r>
        <w:separator/>
      </w:r>
    </w:p>
  </w:endnote>
  <w:endnote w:type="continuationSeparator" w:id="0">
    <w:p w14:paraId="63E014C2" w14:textId="77777777" w:rsidR="007B0DD1" w:rsidRDefault="007B0DD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panose1 w:val="02000500000000000000"/>
    <w:charset w:val="00"/>
    <w:family w:val="auto"/>
    <w:pitch w:val="variable"/>
    <w:sig w:usb0="800020A7" w:usb1="D000004A"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Footer"/>
          <w:jc w:val="center"/>
          <w:rPr>
            <w:rtl/>
          </w:rPr>
        </w:pPr>
      </w:p>
      <w:p w14:paraId="4658AD3E" w14:textId="724F4868" w:rsidR="00A901C5" w:rsidRDefault="00A901C5" w:rsidP="00A901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AF2689" w14:textId="77777777" w:rsidR="00A901C5" w:rsidRDefault="00A90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8D87" w14:textId="77777777" w:rsidR="007B0DD1" w:rsidRDefault="007B0DD1" w:rsidP="00574D27">
      <w:pPr>
        <w:spacing w:after="0" w:line="240" w:lineRule="auto"/>
      </w:pPr>
      <w:r>
        <w:separator/>
      </w:r>
    </w:p>
  </w:footnote>
  <w:footnote w:type="continuationSeparator" w:id="0">
    <w:p w14:paraId="5937D448" w14:textId="77777777" w:rsidR="007B0DD1" w:rsidRDefault="007B0DD1" w:rsidP="00574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18"/>
  </w:num>
  <w:num w:numId="4">
    <w:abstractNumId w:val="21"/>
  </w:num>
  <w:num w:numId="5">
    <w:abstractNumId w:val="1"/>
  </w:num>
  <w:num w:numId="6">
    <w:abstractNumId w:val="6"/>
  </w:num>
  <w:num w:numId="7">
    <w:abstractNumId w:val="19"/>
  </w:num>
  <w:num w:numId="8">
    <w:abstractNumId w:val="15"/>
  </w:num>
  <w:num w:numId="9">
    <w:abstractNumId w:val="2"/>
  </w:num>
  <w:num w:numId="10">
    <w:abstractNumId w:val="7"/>
  </w:num>
  <w:num w:numId="11">
    <w:abstractNumId w:val="17"/>
  </w:num>
  <w:num w:numId="12">
    <w:abstractNumId w:val="16"/>
  </w:num>
  <w:num w:numId="13">
    <w:abstractNumId w:val="10"/>
  </w:num>
  <w:num w:numId="14">
    <w:abstractNumId w:val="9"/>
  </w:num>
  <w:num w:numId="15">
    <w:abstractNumId w:val="13"/>
  </w:num>
  <w:num w:numId="16">
    <w:abstractNumId w:val="8"/>
  </w:num>
  <w:num w:numId="17">
    <w:abstractNumId w:val="12"/>
  </w:num>
  <w:num w:numId="18">
    <w:abstractNumId w:val="23"/>
  </w:num>
  <w:num w:numId="19">
    <w:abstractNumId w:val="22"/>
  </w:num>
  <w:num w:numId="20">
    <w:abstractNumId w:val="3"/>
  </w:num>
  <w:num w:numId="21">
    <w:abstractNumId w:val="11"/>
  </w:num>
  <w:num w:numId="22">
    <w:abstractNumId w:val="5"/>
  </w:num>
  <w:num w:numId="23">
    <w:abstractNumId w:val="4"/>
  </w:num>
  <w:num w:numId="2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27"/>
    <w:rsid w:val="00001C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70E2"/>
    <w:rsid w:val="00177647"/>
    <w:rsid w:val="00180547"/>
    <w:rsid w:val="00184248"/>
    <w:rsid w:val="00186255"/>
    <w:rsid w:val="00187641"/>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0DD1"/>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59B1"/>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1927"/>
    <w:rsid w:val="00AF28E7"/>
    <w:rsid w:val="00AF4564"/>
    <w:rsid w:val="00AF5CBF"/>
    <w:rsid w:val="00AF75C8"/>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15:docId w15:val="{EF95B5E7-3110-4D29-AAFE-26FCB740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F27"/>
    <w:pPr>
      <w:bidi/>
      <w:jc w:val="both"/>
    </w:pPr>
    <w:rPr>
      <w:rFonts w:cs="Badr"/>
      <w:szCs w:val="28"/>
      <w:lang w:val="en-CA" w:bidi="fa-IR"/>
    </w:rPr>
  </w:style>
  <w:style w:type="paragraph" w:styleId="Heading1">
    <w:name w:val="heading 1"/>
    <w:basedOn w:val="Normal"/>
    <w:next w:val="Normal"/>
    <w:link w:val="Heading1Char"/>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Heading2">
    <w:name w:val="heading 2"/>
    <w:basedOn w:val="Normal"/>
    <w:next w:val="Normal"/>
    <w:link w:val="Heading2Char"/>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Heading3">
    <w:name w:val="heading 3"/>
    <w:basedOn w:val="Normal"/>
    <w:next w:val="Normal"/>
    <w:link w:val="Heading3Char"/>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Heading4">
    <w:name w:val="heading 4"/>
    <w:basedOn w:val="Normal"/>
    <w:next w:val="Normal"/>
    <w:link w:val="Heading4Char"/>
    <w:uiPriority w:val="9"/>
    <w:unhideWhenUsed/>
    <w:qFormat/>
    <w:rsid w:val="007E4706"/>
    <w:pPr>
      <w:keepNext/>
      <w:keepLines/>
      <w:spacing w:before="40" w:after="0"/>
      <w:outlineLvl w:val="3"/>
    </w:pPr>
    <w:rPr>
      <w:rFonts w:asciiTheme="majorHAnsi" w:eastAsiaTheme="majorEastAsia" w:hAnsiTheme="majorHAnsi"/>
      <w:bCs/>
      <w:i/>
    </w:rPr>
  </w:style>
  <w:style w:type="paragraph" w:styleId="Heading5">
    <w:name w:val="heading 5"/>
    <w:basedOn w:val="Normal"/>
    <w:next w:val="Normal"/>
    <w:link w:val="Heading5Char"/>
    <w:uiPriority w:val="9"/>
    <w:unhideWhenUsed/>
    <w:qFormat/>
    <w:rsid w:val="008A2F80"/>
    <w:pPr>
      <w:keepNext/>
      <w:keepLines/>
      <w:spacing w:before="40" w:after="0"/>
      <w:outlineLvl w:val="4"/>
    </w:pPr>
    <w:rPr>
      <w:rFonts w:asciiTheme="majorHAnsi" w:eastAsiaTheme="majorEastAsia" w:hAnsiTheme="majorHAnsi"/>
      <w:bCs/>
    </w:rPr>
  </w:style>
  <w:style w:type="paragraph" w:styleId="Heading6">
    <w:name w:val="heading 6"/>
    <w:basedOn w:val="Normal"/>
    <w:next w:val="Normal"/>
    <w:link w:val="Heading6Char"/>
    <w:uiPriority w:val="9"/>
    <w:unhideWhenUsed/>
    <w:qFormat/>
    <w:rsid w:val="00EC0799"/>
    <w:pPr>
      <w:keepNext/>
      <w:keepLines/>
      <w:spacing w:before="40" w:after="0"/>
      <w:outlineLvl w:val="5"/>
    </w:pPr>
    <w:rPr>
      <w:rFonts w:asciiTheme="majorHAnsi" w:eastAsiaTheme="majorEastAsia" w:hAnsiTheme="majorHAnsi"/>
      <w:bCs/>
    </w:rPr>
  </w:style>
  <w:style w:type="paragraph" w:styleId="Heading7">
    <w:name w:val="heading 7"/>
    <w:basedOn w:val="Normal"/>
    <w:next w:val="Normal"/>
    <w:link w:val="Heading7Char"/>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Heading8">
    <w:name w:val="heading 8"/>
    <w:basedOn w:val="Normal"/>
    <w:next w:val="Normal"/>
    <w:link w:val="Heading8Char"/>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489"/>
    <w:rPr>
      <w:rFonts w:asciiTheme="majorHAnsi" w:eastAsiaTheme="majorEastAsia" w:hAnsiTheme="majorHAnsi" w:cs="Badr"/>
      <w:bCs/>
      <w:sz w:val="30"/>
      <w:szCs w:val="32"/>
      <w:lang w:val="en-CA" w:bidi="fa-IR"/>
    </w:rPr>
  </w:style>
  <w:style w:type="character" w:customStyle="1" w:styleId="Heading2Char">
    <w:name w:val="Heading 2 Char"/>
    <w:basedOn w:val="DefaultParagraphFont"/>
    <w:link w:val="Heading2"/>
    <w:uiPriority w:val="9"/>
    <w:rsid w:val="00574D27"/>
    <w:rPr>
      <w:rFonts w:asciiTheme="majorHAnsi" w:eastAsiaTheme="majorEastAsia" w:hAnsiTheme="majorHAnsi" w:cs="Badr"/>
      <w:bCs/>
      <w:sz w:val="26"/>
      <w:szCs w:val="28"/>
      <w:lang w:val="en-CA"/>
    </w:rPr>
  </w:style>
  <w:style w:type="paragraph" w:styleId="NormalWeb">
    <w:name w:val="Normal (Web)"/>
    <w:basedOn w:val="Normal"/>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574D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D27"/>
    <w:rPr>
      <w:rFonts w:cs="Badr"/>
      <w:sz w:val="20"/>
      <w:szCs w:val="20"/>
      <w:lang w:val="en-CA"/>
    </w:rPr>
  </w:style>
  <w:style w:type="character" w:styleId="FootnoteReference">
    <w:name w:val="footnote reference"/>
    <w:basedOn w:val="DefaultParagraphFont"/>
    <w:uiPriority w:val="99"/>
    <w:semiHidden/>
    <w:unhideWhenUsed/>
    <w:rsid w:val="00574D27"/>
    <w:rPr>
      <w:vertAlign w:val="superscript"/>
    </w:rPr>
  </w:style>
  <w:style w:type="paragraph" w:styleId="ListParagraph">
    <w:name w:val="List Paragraph"/>
    <w:basedOn w:val="Normal"/>
    <w:uiPriority w:val="34"/>
    <w:qFormat/>
    <w:rsid w:val="002930F2"/>
    <w:pPr>
      <w:ind w:left="720"/>
      <w:contextualSpacing/>
    </w:pPr>
  </w:style>
  <w:style w:type="paragraph" w:styleId="NoSpacing">
    <w:name w:val="No Spacing"/>
    <w:uiPriority w:val="1"/>
    <w:qFormat/>
    <w:rsid w:val="005131FC"/>
    <w:pPr>
      <w:bidi/>
      <w:spacing w:after="0" w:line="240" w:lineRule="auto"/>
      <w:jc w:val="both"/>
    </w:pPr>
    <w:rPr>
      <w:rFonts w:cs="B Lotus"/>
      <w:szCs w:val="24"/>
      <w:lang w:val="en-CA"/>
    </w:rPr>
  </w:style>
  <w:style w:type="character" w:customStyle="1" w:styleId="Heading3Char">
    <w:name w:val="Heading 3 Char"/>
    <w:basedOn w:val="DefaultParagraphFont"/>
    <w:link w:val="Heading3"/>
    <w:uiPriority w:val="9"/>
    <w:rsid w:val="007E4706"/>
    <w:rPr>
      <w:rFonts w:asciiTheme="majorHAnsi" w:eastAsiaTheme="majorEastAsia" w:hAnsiTheme="majorHAnsi" w:cs="Badr"/>
      <w:bCs/>
      <w:sz w:val="24"/>
      <w:szCs w:val="28"/>
      <w:lang w:bidi="fa-IR"/>
    </w:rPr>
  </w:style>
  <w:style w:type="character" w:styleId="Hyperlink">
    <w:name w:val="Hyperlink"/>
    <w:basedOn w:val="DefaultParagraphFont"/>
    <w:uiPriority w:val="99"/>
    <w:unhideWhenUsed/>
    <w:rsid w:val="00637CF1"/>
    <w:rPr>
      <w:color w:val="0563C1" w:themeColor="hyperlink"/>
      <w:u w:val="single"/>
    </w:rPr>
  </w:style>
  <w:style w:type="character" w:styleId="UnresolvedMention">
    <w:name w:val="Unresolved Mention"/>
    <w:basedOn w:val="DefaultParagraphFont"/>
    <w:uiPriority w:val="99"/>
    <w:semiHidden/>
    <w:unhideWhenUsed/>
    <w:rsid w:val="00637CF1"/>
    <w:rPr>
      <w:color w:val="605E5C"/>
      <w:shd w:val="clear" w:color="auto" w:fill="E1DFDD"/>
    </w:rPr>
  </w:style>
  <w:style w:type="character" w:customStyle="1" w:styleId="Heading4Char">
    <w:name w:val="Heading 4 Char"/>
    <w:basedOn w:val="DefaultParagraphFont"/>
    <w:link w:val="Heading4"/>
    <w:uiPriority w:val="9"/>
    <w:rsid w:val="007E4706"/>
    <w:rPr>
      <w:rFonts w:asciiTheme="majorHAnsi" w:eastAsiaTheme="majorEastAsia" w:hAnsiTheme="majorHAnsi" w:cs="Badr"/>
      <w:bCs/>
      <w:i/>
      <w:szCs w:val="28"/>
      <w:lang w:val="en-CA"/>
    </w:rPr>
  </w:style>
  <w:style w:type="paragraph" w:styleId="Header">
    <w:name w:val="header"/>
    <w:basedOn w:val="Normal"/>
    <w:link w:val="HeaderChar"/>
    <w:uiPriority w:val="99"/>
    <w:unhideWhenUsed/>
    <w:rsid w:val="00744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F3F"/>
    <w:rPr>
      <w:rFonts w:cs="Badr"/>
      <w:szCs w:val="28"/>
      <w:lang w:val="en-CA"/>
    </w:rPr>
  </w:style>
  <w:style w:type="paragraph" w:styleId="Footer">
    <w:name w:val="footer"/>
    <w:basedOn w:val="Normal"/>
    <w:link w:val="FooterChar"/>
    <w:uiPriority w:val="99"/>
    <w:unhideWhenUsed/>
    <w:rsid w:val="00744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F3F"/>
    <w:rPr>
      <w:rFonts w:cs="Badr"/>
      <w:szCs w:val="28"/>
      <w:lang w:val="en-CA"/>
    </w:rPr>
  </w:style>
  <w:style w:type="paragraph" w:styleId="TOCHeading">
    <w:name w:val="TOC Heading"/>
    <w:basedOn w:val="Heading1"/>
    <w:next w:val="Normal"/>
    <w:uiPriority w:val="39"/>
    <w:unhideWhenUsed/>
    <w:qFormat/>
    <w:rsid w:val="00744F3F"/>
    <w:pPr>
      <w:bidi w:val="0"/>
      <w:jc w:val="left"/>
      <w:outlineLvl w:val="9"/>
    </w:pPr>
    <w:rPr>
      <w:rFonts w:cstheme="majorBidi"/>
      <w:bCs w:val="0"/>
      <w:color w:val="2F5496" w:themeColor="accent1" w:themeShade="BF"/>
      <w:lang w:val="en-US"/>
    </w:rPr>
  </w:style>
  <w:style w:type="paragraph" w:styleId="TOC2">
    <w:name w:val="toc 2"/>
    <w:basedOn w:val="Normal"/>
    <w:next w:val="Normal"/>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TOC1">
    <w:name w:val="toc 1"/>
    <w:basedOn w:val="Normal"/>
    <w:next w:val="Normal"/>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TOC3">
    <w:name w:val="toc 3"/>
    <w:basedOn w:val="Normal"/>
    <w:next w:val="Normal"/>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CommentReference">
    <w:name w:val="annotation reference"/>
    <w:basedOn w:val="DefaultParagraphFont"/>
    <w:uiPriority w:val="99"/>
    <w:semiHidden/>
    <w:unhideWhenUsed/>
    <w:rsid w:val="00FB360A"/>
    <w:rPr>
      <w:sz w:val="16"/>
      <w:szCs w:val="16"/>
    </w:rPr>
  </w:style>
  <w:style w:type="paragraph" w:styleId="CommentText">
    <w:name w:val="annotation text"/>
    <w:basedOn w:val="Normal"/>
    <w:link w:val="CommentTextChar"/>
    <w:uiPriority w:val="99"/>
    <w:semiHidden/>
    <w:unhideWhenUsed/>
    <w:rsid w:val="00FB360A"/>
    <w:pPr>
      <w:spacing w:line="240" w:lineRule="auto"/>
    </w:pPr>
    <w:rPr>
      <w:sz w:val="20"/>
      <w:szCs w:val="20"/>
    </w:rPr>
  </w:style>
  <w:style w:type="character" w:customStyle="1" w:styleId="CommentTextChar">
    <w:name w:val="Comment Text Char"/>
    <w:basedOn w:val="DefaultParagraphFont"/>
    <w:link w:val="CommentText"/>
    <w:uiPriority w:val="99"/>
    <w:semiHidden/>
    <w:rsid w:val="00FB360A"/>
    <w:rPr>
      <w:rFonts w:cs="Badr"/>
      <w:sz w:val="20"/>
      <w:szCs w:val="20"/>
      <w:lang w:val="en-CA"/>
    </w:rPr>
  </w:style>
  <w:style w:type="paragraph" w:styleId="CommentSubject">
    <w:name w:val="annotation subject"/>
    <w:basedOn w:val="CommentText"/>
    <w:next w:val="CommentText"/>
    <w:link w:val="CommentSubjectChar"/>
    <w:uiPriority w:val="99"/>
    <w:semiHidden/>
    <w:unhideWhenUsed/>
    <w:rsid w:val="00FB360A"/>
    <w:rPr>
      <w:b/>
      <w:bCs/>
    </w:rPr>
  </w:style>
  <w:style w:type="character" w:customStyle="1" w:styleId="CommentSubjectChar">
    <w:name w:val="Comment Subject Char"/>
    <w:basedOn w:val="CommentTextChar"/>
    <w:link w:val="CommentSubject"/>
    <w:uiPriority w:val="99"/>
    <w:semiHidden/>
    <w:rsid w:val="00FB360A"/>
    <w:rPr>
      <w:rFonts w:cs="Badr"/>
      <w:b/>
      <w:bCs/>
      <w:sz w:val="20"/>
      <w:szCs w:val="20"/>
      <w:lang w:val="en-CA"/>
    </w:rPr>
  </w:style>
  <w:style w:type="character" w:styleId="IntenseReference">
    <w:name w:val="Intense Reference"/>
    <w:basedOn w:val="DefaultParagraphFont"/>
    <w:uiPriority w:val="32"/>
    <w:qFormat/>
    <w:rsid w:val="005A7E87"/>
    <w:rPr>
      <w:b/>
      <w:bCs/>
      <w:smallCaps/>
      <w:color w:val="4472C4" w:themeColor="accent1"/>
      <w:spacing w:val="5"/>
    </w:rPr>
  </w:style>
  <w:style w:type="character" w:customStyle="1" w:styleId="Heading5Char">
    <w:name w:val="Heading 5 Char"/>
    <w:basedOn w:val="DefaultParagraphFont"/>
    <w:link w:val="Heading5"/>
    <w:uiPriority w:val="9"/>
    <w:rsid w:val="008A2F80"/>
    <w:rPr>
      <w:rFonts w:asciiTheme="majorHAnsi" w:eastAsiaTheme="majorEastAsia" w:hAnsiTheme="majorHAnsi" w:cs="Badr"/>
      <w:bCs/>
      <w:szCs w:val="28"/>
      <w:lang w:val="en-CA" w:bidi="fa-IR"/>
    </w:rPr>
  </w:style>
  <w:style w:type="character" w:customStyle="1" w:styleId="Heading6Char">
    <w:name w:val="Heading 6 Char"/>
    <w:basedOn w:val="DefaultParagraphFont"/>
    <w:link w:val="Heading6"/>
    <w:uiPriority w:val="9"/>
    <w:rsid w:val="00EC0799"/>
    <w:rPr>
      <w:rFonts w:asciiTheme="majorHAnsi" w:eastAsiaTheme="majorEastAsia" w:hAnsiTheme="majorHAnsi" w:cs="Badr"/>
      <w:bCs/>
      <w:szCs w:val="28"/>
      <w:lang w:val="en-CA" w:bidi="fa-IR"/>
    </w:rPr>
  </w:style>
  <w:style w:type="character" w:customStyle="1" w:styleId="Heading7Char">
    <w:name w:val="Heading 7 Char"/>
    <w:basedOn w:val="DefaultParagraphFont"/>
    <w:link w:val="Heading7"/>
    <w:uiPriority w:val="9"/>
    <w:rsid w:val="00F638F5"/>
    <w:rPr>
      <w:rFonts w:asciiTheme="majorHAnsi" w:eastAsiaTheme="majorEastAsia" w:hAnsiTheme="majorHAnsi" w:cs="Badr"/>
      <w:i/>
      <w:color w:val="000000" w:themeColor="text1"/>
      <w:szCs w:val="28"/>
      <w:lang w:val="en-CA" w:bidi="fa-IR"/>
    </w:rPr>
  </w:style>
  <w:style w:type="character" w:customStyle="1" w:styleId="Heading8Char">
    <w:name w:val="Heading 8 Char"/>
    <w:basedOn w:val="DefaultParagraphFont"/>
    <w:link w:val="Heading8"/>
    <w:uiPriority w:val="9"/>
    <w:rsid w:val="00DE23B5"/>
    <w:rPr>
      <w:rFonts w:asciiTheme="majorHAnsi" w:eastAsiaTheme="majorEastAsia" w:hAnsiTheme="majorHAnsi" w:cs="Badr"/>
      <w:bCs/>
      <w:color w:val="272727" w:themeColor="text1" w:themeTint="D8"/>
      <w:sz w:val="21"/>
      <w:szCs w:val="28"/>
      <w:lang w:val="en-CA" w:bidi="fa-IR"/>
    </w:rPr>
  </w:style>
  <w:style w:type="paragraph" w:styleId="TOC4">
    <w:name w:val="toc 4"/>
    <w:basedOn w:val="Normal"/>
    <w:next w:val="Normal"/>
    <w:autoRedefine/>
    <w:uiPriority w:val="39"/>
    <w:unhideWhenUsed/>
    <w:rsid w:val="009572DC"/>
    <w:pPr>
      <w:tabs>
        <w:tab w:val="right" w:leader="dot" w:pos="9913"/>
      </w:tabs>
      <w:spacing w:after="100"/>
      <w:ind w:left="660"/>
    </w:pPr>
    <w:rPr>
      <w:rFonts w:ascii="Badr" w:hAnsi="Badr"/>
      <w:b/>
      <w:bCs/>
      <w:noProof/>
      <w:szCs w:val="22"/>
    </w:rPr>
  </w:style>
  <w:style w:type="paragraph" w:styleId="TOC5">
    <w:name w:val="toc 5"/>
    <w:basedOn w:val="Normal"/>
    <w:next w:val="Normal"/>
    <w:autoRedefine/>
    <w:uiPriority w:val="39"/>
    <w:unhideWhenUsed/>
    <w:rsid w:val="00D21D85"/>
    <w:pPr>
      <w:spacing w:after="100"/>
      <w:ind w:left="880"/>
    </w:pPr>
  </w:style>
  <w:style w:type="paragraph" w:styleId="TOC6">
    <w:name w:val="toc 6"/>
    <w:basedOn w:val="Normal"/>
    <w:next w:val="Normal"/>
    <w:autoRedefine/>
    <w:uiPriority w:val="39"/>
    <w:unhideWhenUsed/>
    <w:rsid w:val="0093777F"/>
    <w:pPr>
      <w:spacing w:after="100"/>
      <w:ind w:left="1100"/>
    </w:pPr>
  </w:style>
  <w:style w:type="paragraph" w:styleId="TOC7">
    <w:name w:val="toc 7"/>
    <w:basedOn w:val="Normal"/>
    <w:next w:val="Normal"/>
    <w:autoRedefine/>
    <w:uiPriority w:val="39"/>
    <w:semiHidden/>
    <w:unhideWhenUsed/>
    <w:rsid w:val="000B734B"/>
    <w:pPr>
      <w:spacing w:after="100"/>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6B8E-9FBE-4991-AA83-4BF42273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775</Words>
  <Characters>3062</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امیرحسین ایمانی</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amirhosein imani</cp:lastModifiedBy>
  <cp:revision>3</cp:revision>
  <cp:lastPrinted>2025-11-03T17:03:00Z</cp:lastPrinted>
  <dcterms:created xsi:type="dcterms:W3CDTF">2025-11-03T17:04:00Z</dcterms:created>
  <dcterms:modified xsi:type="dcterms:W3CDTF">2025-11-03T17:13:00Z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