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49147860" w:rsidR="005D0A76" w:rsidRPr="007307C6" w:rsidRDefault="005D0A76" w:rsidP="00373AC7">
      <w:pPr>
        <w:spacing w:line="240" w:lineRule="auto"/>
        <w:jc w:val="center"/>
        <w:rPr>
          <w:rtl/>
          <w:lang w:val="en-US"/>
        </w:rPr>
      </w:pPr>
    </w:p>
    <w:p w14:paraId="44F044F8" w14:textId="78EEB3DF" w:rsidR="0052675C" w:rsidRPr="007307C6" w:rsidRDefault="00553DAC" w:rsidP="00373AC7">
      <w:pPr>
        <w:spacing w:line="240" w:lineRule="auto"/>
        <w:jc w:val="center"/>
        <w:rPr>
          <w:rtl/>
          <w:lang w:val="en-US"/>
        </w:rPr>
      </w:pPr>
      <w:proofErr w:type="spellStart"/>
      <w:r w:rsidRPr="007307C6">
        <w:rPr>
          <w:rtl/>
          <w:lang w:val="en-US"/>
        </w:rPr>
        <w:t>بسم‌الله</w:t>
      </w:r>
      <w:proofErr w:type="spellEnd"/>
      <w:r w:rsidR="0052675C" w:rsidRPr="007307C6">
        <w:rPr>
          <w:rFonts w:hint="cs"/>
          <w:rtl/>
          <w:lang w:val="en-US"/>
        </w:rPr>
        <w:t xml:space="preserve"> </w:t>
      </w:r>
      <w:proofErr w:type="spellStart"/>
      <w:r w:rsidR="0052675C" w:rsidRPr="007307C6">
        <w:rPr>
          <w:rFonts w:hint="cs"/>
          <w:rtl/>
          <w:lang w:val="en-US"/>
        </w:rPr>
        <w:t>الرحمن</w:t>
      </w:r>
      <w:proofErr w:type="spellEnd"/>
      <w:r w:rsidR="0052675C" w:rsidRPr="007307C6">
        <w:rPr>
          <w:rFonts w:hint="cs"/>
          <w:rtl/>
          <w:lang w:val="en-US"/>
        </w:rPr>
        <w:t xml:space="preserve"> </w:t>
      </w:r>
      <w:proofErr w:type="spellStart"/>
      <w:r w:rsidR="0052675C" w:rsidRPr="007307C6">
        <w:rPr>
          <w:rFonts w:hint="cs"/>
          <w:rtl/>
          <w:lang w:val="en-US"/>
        </w:rPr>
        <w:t>الرحیم</w:t>
      </w:r>
      <w:proofErr w:type="spellEnd"/>
    </w:p>
    <w:p w14:paraId="64A6B661" w14:textId="56DAC14C" w:rsidR="00F21F44" w:rsidRPr="007307C6" w:rsidRDefault="00903334" w:rsidP="00903334">
      <w:pPr>
        <w:spacing w:line="240" w:lineRule="auto"/>
        <w:jc w:val="center"/>
        <w:rPr>
          <w:color w:val="A6A6A6" w:themeColor="background1" w:themeShade="A6"/>
          <w:rtl/>
          <w:lang w:val="en-US"/>
        </w:rPr>
      </w:pPr>
      <w:proofErr w:type="spellStart"/>
      <w:r w:rsidRPr="007307C6">
        <w:rPr>
          <w:rFonts w:hint="cs"/>
          <w:rtl/>
          <w:lang w:val="en-US"/>
        </w:rPr>
        <w:t>تقریر</w:t>
      </w:r>
      <w:r w:rsidR="0052675C" w:rsidRPr="007307C6">
        <w:rPr>
          <w:rFonts w:hint="cs"/>
          <w:rtl/>
          <w:lang w:val="en-US"/>
        </w:rPr>
        <w:t>اصول</w:t>
      </w:r>
      <w:proofErr w:type="spellEnd"/>
      <w:r w:rsidR="0052675C" w:rsidRPr="007307C6">
        <w:rPr>
          <w:rFonts w:hint="cs"/>
          <w:rtl/>
          <w:lang w:val="en-US"/>
        </w:rPr>
        <w:t xml:space="preserve"> </w:t>
      </w:r>
      <w:proofErr w:type="spellStart"/>
      <w:r w:rsidR="0052675C" w:rsidRPr="007307C6">
        <w:rPr>
          <w:rFonts w:hint="cs"/>
          <w:rtl/>
          <w:lang w:val="en-US"/>
        </w:rPr>
        <w:t>الفقه</w:t>
      </w:r>
      <w:proofErr w:type="spellEnd"/>
      <w:r w:rsidR="0052675C" w:rsidRPr="007307C6">
        <w:rPr>
          <w:rFonts w:hint="cs"/>
          <w:rtl/>
          <w:lang w:val="en-US"/>
        </w:rPr>
        <w:t xml:space="preserve"> | جل</w:t>
      </w:r>
      <w:r w:rsidR="00741878" w:rsidRPr="007307C6">
        <w:rPr>
          <w:rFonts w:hint="cs"/>
          <w:rtl/>
          <w:lang w:val="en-US"/>
        </w:rPr>
        <w:t>سه</w:t>
      </w:r>
      <w:r w:rsidR="003653F9" w:rsidRPr="007307C6">
        <w:rPr>
          <w:rFonts w:hint="cs"/>
          <w:rtl/>
          <w:lang w:val="en-US"/>
        </w:rPr>
        <w:t>4</w:t>
      </w:r>
      <w:r w:rsidR="005B53E9">
        <w:rPr>
          <w:rFonts w:hint="cs"/>
          <w:rtl/>
          <w:lang w:val="en-US"/>
        </w:rPr>
        <w:t>4</w:t>
      </w:r>
      <w:r w:rsidR="0052675C" w:rsidRPr="007307C6">
        <w:rPr>
          <w:rFonts w:hint="cs"/>
          <w:rtl/>
          <w:lang w:val="en-US"/>
        </w:rPr>
        <w:t xml:space="preserve">                             </w:t>
      </w:r>
      <w:r w:rsidR="0052675C" w:rsidRPr="007307C6">
        <w:rPr>
          <w:rFonts w:hint="cs"/>
          <w:b/>
          <w:bCs/>
          <w:rtl/>
          <w:lang w:val="en-US"/>
        </w:rPr>
        <w:t xml:space="preserve">استاد </w:t>
      </w:r>
      <w:proofErr w:type="spellStart"/>
      <w:r w:rsidR="0052675C" w:rsidRPr="007307C6">
        <w:rPr>
          <w:rFonts w:hint="cs"/>
          <w:b/>
          <w:bCs/>
          <w:rtl/>
          <w:lang w:val="en-US"/>
        </w:rPr>
        <w:t>شوپایی</w:t>
      </w:r>
      <w:proofErr w:type="spellEnd"/>
      <w:r w:rsidR="0052675C" w:rsidRPr="007307C6">
        <w:rPr>
          <w:rFonts w:hint="cs"/>
          <w:b/>
          <w:bCs/>
          <w:rtl/>
          <w:lang w:val="en-US"/>
        </w:rPr>
        <w:t xml:space="preserve"> </w:t>
      </w:r>
      <w:proofErr w:type="spellStart"/>
      <w:r w:rsidR="0052675C" w:rsidRPr="007307C6">
        <w:rPr>
          <w:rFonts w:hint="cs"/>
          <w:b/>
          <w:bCs/>
          <w:rtl/>
          <w:lang w:val="en-US"/>
        </w:rPr>
        <w:t>جویباری</w:t>
      </w:r>
      <w:proofErr w:type="spellEnd"/>
      <w:r w:rsidR="0052675C" w:rsidRPr="007307C6">
        <w:rPr>
          <w:rFonts w:hint="cs"/>
          <w:b/>
          <w:bCs/>
          <w:rtl/>
          <w:lang w:val="en-US"/>
        </w:rPr>
        <w:t xml:space="preserve"> </w:t>
      </w:r>
      <w:r w:rsidR="0052675C" w:rsidRPr="007307C6">
        <w:rPr>
          <w:rFonts w:hint="cs"/>
          <w:b/>
          <w:bCs/>
          <w:vertAlign w:val="superscript"/>
          <w:rtl/>
          <w:lang w:val="en-US"/>
        </w:rPr>
        <w:t xml:space="preserve">زید </w:t>
      </w:r>
      <w:proofErr w:type="spellStart"/>
      <w:r w:rsidR="0052675C" w:rsidRPr="007307C6">
        <w:rPr>
          <w:rFonts w:hint="cs"/>
          <w:b/>
          <w:bCs/>
          <w:vertAlign w:val="superscript"/>
          <w:rtl/>
          <w:lang w:val="en-US"/>
        </w:rPr>
        <w:t>عزه</w:t>
      </w:r>
      <w:proofErr w:type="spellEnd"/>
      <w:r w:rsidR="0052675C" w:rsidRPr="007307C6">
        <w:rPr>
          <w:rFonts w:hint="cs"/>
          <w:rtl/>
          <w:lang w:val="en-US"/>
        </w:rPr>
        <w:t xml:space="preserve">                                                       </w:t>
      </w:r>
      <w:r w:rsidR="005B53E9">
        <w:rPr>
          <w:rFonts w:hint="cs"/>
          <w:color w:val="A6A6A6" w:themeColor="background1" w:themeShade="A6"/>
          <w:rtl/>
          <w:lang w:val="en-US"/>
        </w:rPr>
        <w:t>20</w:t>
      </w:r>
      <w:r w:rsidR="0052675C" w:rsidRPr="007307C6">
        <w:rPr>
          <w:rFonts w:hint="cs"/>
          <w:color w:val="A6A6A6" w:themeColor="background1" w:themeShade="A6"/>
          <w:rtl/>
          <w:lang w:val="en-US"/>
        </w:rPr>
        <w:t>/</w:t>
      </w:r>
      <w:r w:rsidR="006A03CD" w:rsidRPr="007307C6">
        <w:rPr>
          <w:rFonts w:hint="cs"/>
          <w:color w:val="A6A6A6" w:themeColor="background1" w:themeShade="A6"/>
          <w:rtl/>
          <w:lang w:val="en-US"/>
        </w:rPr>
        <w:t>8</w:t>
      </w:r>
      <w:r w:rsidR="0052675C" w:rsidRPr="007307C6">
        <w:rPr>
          <w:rFonts w:hint="cs"/>
          <w:color w:val="A6A6A6" w:themeColor="background1" w:themeShade="A6"/>
          <w:rtl/>
          <w:lang w:val="en-US"/>
        </w:rPr>
        <w:t>/1404</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36438A" w:rsidRDefault="007D4597" w:rsidP="0036438A">
          <w:pPr>
            <w:pStyle w:val="ae"/>
            <w:bidi/>
            <w:jc w:val="center"/>
            <w:rPr>
              <w:rFonts w:ascii="Badr" w:hAnsi="Badr" w:cs="Badr"/>
              <w:color w:val="auto"/>
              <w:sz w:val="24"/>
              <w:szCs w:val="24"/>
            </w:rPr>
          </w:pPr>
          <w:r w:rsidRPr="0036438A">
            <w:rPr>
              <w:rFonts w:ascii="Badr" w:hAnsi="Badr" w:cs="Badr"/>
              <w:color w:val="auto"/>
              <w:sz w:val="24"/>
              <w:szCs w:val="24"/>
              <w:rtl/>
            </w:rPr>
            <w:t>فهرست</w:t>
          </w:r>
        </w:p>
        <w:p w14:paraId="0D0449FD" w14:textId="46D7E63E" w:rsidR="005B53E9" w:rsidRPr="005B53E9" w:rsidRDefault="000B734B" w:rsidP="005B53E9">
          <w:pPr>
            <w:pStyle w:val="11"/>
            <w:rPr>
              <w:rFonts w:ascii="Badr" w:hAnsi="Badr" w:cs="Badr"/>
              <w:b/>
              <w:bCs/>
              <w:noProof/>
              <w:lang w:bidi="ar-SA"/>
            </w:rPr>
          </w:pPr>
          <w:r w:rsidRPr="0036438A">
            <w:rPr>
              <w:rFonts w:ascii="Badr" w:hAnsi="Badr" w:cs="Badr"/>
              <w:b/>
              <w:bCs/>
              <w:sz w:val="24"/>
              <w:szCs w:val="24"/>
            </w:rPr>
            <w:fldChar w:fldCharType="begin"/>
          </w:r>
          <w:r w:rsidRPr="0036438A">
            <w:rPr>
              <w:rFonts w:ascii="Badr" w:hAnsi="Badr" w:cs="Badr"/>
              <w:b/>
              <w:bCs/>
              <w:sz w:val="24"/>
              <w:szCs w:val="24"/>
            </w:rPr>
            <w:instrText xml:space="preserve"> TOC \o "1-6" \h \z \u </w:instrText>
          </w:r>
          <w:r w:rsidRPr="0036438A">
            <w:rPr>
              <w:rFonts w:ascii="Badr" w:hAnsi="Badr" w:cs="Badr"/>
              <w:b/>
              <w:bCs/>
              <w:sz w:val="24"/>
              <w:szCs w:val="24"/>
            </w:rPr>
            <w:fldChar w:fldCharType="separate"/>
          </w:r>
          <w:hyperlink w:anchor="_Toc213749824" w:history="1">
            <w:r w:rsidR="005B53E9" w:rsidRPr="005B53E9">
              <w:rPr>
                <w:rStyle w:val="a9"/>
                <w:rFonts w:ascii="Badr" w:hAnsi="Badr" w:cs="Badr"/>
                <w:b/>
                <w:bCs/>
                <w:noProof/>
                <w:rtl/>
              </w:rPr>
              <w:t>بررسی وجه چهارم: کفایت اشتمال بر ملاک برای صحت عمل و حصول امتثال</w:t>
            </w:r>
            <w:r w:rsidR="005B53E9" w:rsidRPr="005B53E9">
              <w:rPr>
                <w:rFonts w:ascii="Badr" w:hAnsi="Badr" w:cs="Badr"/>
                <w:b/>
                <w:bCs/>
                <w:noProof/>
                <w:webHidden/>
              </w:rPr>
              <w:tab/>
            </w:r>
            <w:r w:rsidR="005B53E9" w:rsidRPr="005B53E9">
              <w:rPr>
                <w:rFonts w:ascii="Badr" w:hAnsi="Badr" w:cs="Badr"/>
                <w:b/>
                <w:bCs/>
                <w:noProof/>
                <w:webHidden/>
              </w:rPr>
              <w:fldChar w:fldCharType="begin"/>
            </w:r>
            <w:r w:rsidR="005B53E9" w:rsidRPr="005B53E9">
              <w:rPr>
                <w:rFonts w:ascii="Badr" w:hAnsi="Badr" w:cs="Badr"/>
                <w:b/>
                <w:bCs/>
                <w:noProof/>
                <w:webHidden/>
              </w:rPr>
              <w:instrText xml:space="preserve"> PAGEREF _Toc213749824 \h </w:instrText>
            </w:r>
            <w:r w:rsidR="005B53E9" w:rsidRPr="005B53E9">
              <w:rPr>
                <w:rFonts w:ascii="Badr" w:hAnsi="Badr" w:cs="Badr"/>
                <w:b/>
                <w:bCs/>
                <w:noProof/>
                <w:webHidden/>
              </w:rPr>
            </w:r>
            <w:r w:rsidR="005B53E9" w:rsidRPr="005B53E9">
              <w:rPr>
                <w:rFonts w:ascii="Badr" w:hAnsi="Badr" w:cs="Badr"/>
                <w:b/>
                <w:bCs/>
                <w:noProof/>
                <w:webHidden/>
              </w:rPr>
              <w:fldChar w:fldCharType="separate"/>
            </w:r>
            <w:r w:rsidR="001D6EF5">
              <w:rPr>
                <w:rFonts w:ascii="Badr" w:hAnsi="Badr" w:cs="Badr"/>
                <w:b/>
                <w:bCs/>
                <w:noProof/>
                <w:webHidden/>
                <w:rtl/>
              </w:rPr>
              <w:t>1</w:t>
            </w:r>
            <w:r w:rsidR="005B53E9" w:rsidRPr="005B53E9">
              <w:rPr>
                <w:rFonts w:ascii="Badr" w:hAnsi="Badr" w:cs="Badr"/>
                <w:b/>
                <w:bCs/>
                <w:noProof/>
                <w:webHidden/>
              </w:rPr>
              <w:fldChar w:fldCharType="end"/>
            </w:r>
          </w:hyperlink>
        </w:p>
        <w:p w14:paraId="789725AE" w14:textId="00705504" w:rsidR="005B53E9" w:rsidRPr="005B53E9" w:rsidRDefault="00482311" w:rsidP="005B53E9">
          <w:pPr>
            <w:pStyle w:val="21"/>
            <w:rPr>
              <w:rFonts w:ascii="Badr" w:hAnsi="Badr" w:cs="Badr"/>
              <w:b/>
              <w:bCs/>
              <w:noProof/>
              <w:lang w:bidi="ar-SA"/>
            </w:rPr>
          </w:pPr>
          <w:hyperlink w:anchor="_Toc213749825" w:history="1">
            <w:r w:rsidR="005B53E9" w:rsidRPr="005B53E9">
              <w:rPr>
                <w:rStyle w:val="a9"/>
                <w:rFonts w:ascii="Badr" w:hAnsi="Badr" w:cs="Badr"/>
                <w:b/>
                <w:bCs/>
                <w:noProof/>
                <w:rtl/>
              </w:rPr>
              <w:t>اشکالات مرحوم ایروانی بر وجه چهارم</w:t>
            </w:r>
            <w:r w:rsidR="005B53E9" w:rsidRPr="005B53E9">
              <w:rPr>
                <w:rFonts w:ascii="Badr" w:hAnsi="Badr" w:cs="Badr"/>
                <w:b/>
                <w:bCs/>
                <w:noProof/>
                <w:webHidden/>
              </w:rPr>
              <w:tab/>
            </w:r>
            <w:r w:rsidR="005B53E9" w:rsidRPr="005B53E9">
              <w:rPr>
                <w:rFonts w:ascii="Badr" w:hAnsi="Badr" w:cs="Badr"/>
                <w:b/>
                <w:bCs/>
                <w:noProof/>
                <w:webHidden/>
              </w:rPr>
              <w:fldChar w:fldCharType="begin"/>
            </w:r>
            <w:r w:rsidR="005B53E9" w:rsidRPr="005B53E9">
              <w:rPr>
                <w:rFonts w:ascii="Badr" w:hAnsi="Badr" w:cs="Badr"/>
                <w:b/>
                <w:bCs/>
                <w:noProof/>
                <w:webHidden/>
              </w:rPr>
              <w:instrText xml:space="preserve"> PAGEREF _Toc213749825 \h </w:instrText>
            </w:r>
            <w:r w:rsidR="005B53E9" w:rsidRPr="005B53E9">
              <w:rPr>
                <w:rFonts w:ascii="Badr" w:hAnsi="Badr" w:cs="Badr"/>
                <w:b/>
                <w:bCs/>
                <w:noProof/>
                <w:webHidden/>
              </w:rPr>
            </w:r>
            <w:r w:rsidR="005B53E9" w:rsidRPr="005B53E9">
              <w:rPr>
                <w:rFonts w:ascii="Badr" w:hAnsi="Badr" w:cs="Badr"/>
                <w:b/>
                <w:bCs/>
                <w:noProof/>
                <w:webHidden/>
              </w:rPr>
              <w:fldChar w:fldCharType="separate"/>
            </w:r>
            <w:r w:rsidR="001D6EF5">
              <w:rPr>
                <w:rFonts w:ascii="Badr" w:hAnsi="Badr" w:cs="Badr"/>
                <w:b/>
                <w:bCs/>
                <w:noProof/>
                <w:webHidden/>
                <w:rtl/>
              </w:rPr>
              <w:t>3</w:t>
            </w:r>
            <w:r w:rsidR="005B53E9" w:rsidRPr="005B53E9">
              <w:rPr>
                <w:rFonts w:ascii="Badr" w:hAnsi="Badr" w:cs="Badr"/>
                <w:b/>
                <w:bCs/>
                <w:noProof/>
                <w:webHidden/>
              </w:rPr>
              <w:fldChar w:fldCharType="end"/>
            </w:r>
          </w:hyperlink>
        </w:p>
        <w:p w14:paraId="598D7BF2" w14:textId="17D9C7CF" w:rsidR="005B53E9" w:rsidRPr="005B53E9" w:rsidRDefault="00482311" w:rsidP="005B53E9">
          <w:pPr>
            <w:pStyle w:val="31"/>
            <w:rPr>
              <w:rFonts w:ascii="Badr" w:hAnsi="Badr" w:cs="Badr"/>
              <w:lang w:bidi="ar-SA"/>
            </w:rPr>
          </w:pPr>
          <w:hyperlink w:anchor="_Toc213749826" w:history="1">
            <w:r w:rsidR="005B53E9" w:rsidRPr="005B53E9">
              <w:rPr>
                <w:rStyle w:val="a9"/>
                <w:rFonts w:ascii="Badr" w:hAnsi="Badr" w:cs="Badr"/>
                <w:rtl/>
              </w:rPr>
              <w:t>اشکال اول (ناظر به مقدمه اول)</w:t>
            </w:r>
            <w:r w:rsidR="005B53E9" w:rsidRPr="005B53E9">
              <w:rPr>
                <w:rStyle w:val="a9"/>
                <w:rFonts w:ascii="Badr" w:hAnsi="Badr" w:cs="Badr"/>
              </w:rPr>
              <w:t>:</w:t>
            </w:r>
            <w:r w:rsidR="005B53E9" w:rsidRPr="005B53E9">
              <w:rPr>
                <w:rFonts w:ascii="Badr" w:hAnsi="Badr" w:cs="Badr"/>
                <w:webHidden/>
              </w:rPr>
              <w:tab/>
            </w:r>
            <w:r w:rsidR="005B53E9" w:rsidRPr="005B53E9">
              <w:rPr>
                <w:rFonts w:ascii="Badr" w:hAnsi="Badr" w:cs="Badr"/>
                <w:webHidden/>
              </w:rPr>
              <w:fldChar w:fldCharType="begin"/>
            </w:r>
            <w:r w:rsidR="005B53E9" w:rsidRPr="005B53E9">
              <w:rPr>
                <w:rFonts w:ascii="Badr" w:hAnsi="Badr" w:cs="Badr"/>
                <w:webHidden/>
              </w:rPr>
              <w:instrText xml:space="preserve"> PAGEREF _Toc213749826 \h </w:instrText>
            </w:r>
            <w:r w:rsidR="005B53E9" w:rsidRPr="005B53E9">
              <w:rPr>
                <w:rFonts w:ascii="Badr" w:hAnsi="Badr" w:cs="Badr"/>
                <w:webHidden/>
              </w:rPr>
            </w:r>
            <w:r w:rsidR="005B53E9" w:rsidRPr="005B53E9">
              <w:rPr>
                <w:rFonts w:ascii="Badr" w:hAnsi="Badr" w:cs="Badr"/>
                <w:webHidden/>
              </w:rPr>
              <w:fldChar w:fldCharType="separate"/>
            </w:r>
            <w:r w:rsidR="001D6EF5">
              <w:rPr>
                <w:rFonts w:ascii="Badr" w:hAnsi="Badr" w:cs="Badr"/>
                <w:webHidden/>
                <w:rtl/>
              </w:rPr>
              <w:t>3</w:t>
            </w:r>
            <w:r w:rsidR="005B53E9" w:rsidRPr="005B53E9">
              <w:rPr>
                <w:rFonts w:ascii="Badr" w:hAnsi="Badr" w:cs="Badr"/>
                <w:webHidden/>
              </w:rPr>
              <w:fldChar w:fldCharType="end"/>
            </w:r>
          </w:hyperlink>
        </w:p>
        <w:p w14:paraId="23D8D6F2" w14:textId="73A5457B" w:rsidR="005B53E9" w:rsidRPr="005B53E9" w:rsidRDefault="00482311" w:rsidP="005B53E9">
          <w:pPr>
            <w:pStyle w:val="31"/>
            <w:rPr>
              <w:rFonts w:ascii="Badr" w:hAnsi="Badr" w:cs="Badr"/>
              <w:lang w:bidi="ar-SA"/>
            </w:rPr>
          </w:pPr>
          <w:hyperlink w:anchor="_Toc213749827" w:history="1">
            <w:r w:rsidR="005B53E9" w:rsidRPr="005B53E9">
              <w:rPr>
                <w:rStyle w:val="a9"/>
                <w:rFonts w:ascii="Badr" w:hAnsi="Badr" w:cs="Badr"/>
                <w:rtl/>
              </w:rPr>
              <w:t>اشکال دوم (ناظر به مقدمه دوم)</w:t>
            </w:r>
            <w:r w:rsidR="005B53E9" w:rsidRPr="005B53E9">
              <w:rPr>
                <w:rStyle w:val="a9"/>
                <w:rFonts w:ascii="Badr" w:hAnsi="Badr" w:cs="Badr"/>
              </w:rPr>
              <w:t>:</w:t>
            </w:r>
            <w:r w:rsidR="005B53E9" w:rsidRPr="005B53E9">
              <w:rPr>
                <w:rFonts w:ascii="Badr" w:hAnsi="Badr" w:cs="Badr"/>
                <w:webHidden/>
              </w:rPr>
              <w:tab/>
            </w:r>
            <w:r w:rsidR="005B53E9" w:rsidRPr="005B53E9">
              <w:rPr>
                <w:rFonts w:ascii="Badr" w:hAnsi="Badr" w:cs="Badr"/>
                <w:webHidden/>
              </w:rPr>
              <w:fldChar w:fldCharType="begin"/>
            </w:r>
            <w:r w:rsidR="005B53E9" w:rsidRPr="005B53E9">
              <w:rPr>
                <w:rFonts w:ascii="Badr" w:hAnsi="Badr" w:cs="Badr"/>
                <w:webHidden/>
              </w:rPr>
              <w:instrText xml:space="preserve"> PAGEREF _Toc213749827 \h </w:instrText>
            </w:r>
            <w:r w:rsidR="005B53E9" w:rsidRPr="005B53E9">
              <w:rPr>
                <w:rFonts w:ascii="Badr" w:hAnsi="Badr" w:cs="Badr"/>
                <w:webHidden/>
              </w:rPr>
            </w:r>
            <w:r w:rsidR="005B53E9" w:rsidRPr="005B53E9">
              <w:rPr>
                <w:rFonts w:ascii="Badr" w:hAnsi="Badr" w:cs="Badr"/>
                <w:webHidden/>
              </w:rPr>
              <w:fldChar w:fldCharType="separate"/>
            </w:r>
            <w:r w:rsidR="001D6EF5">
              <w:rPr>
                <w:rFonts w:ascii="Badr" w:hAnsi="Badr" w:cs="Badr"/>
                <w:webHidden/>
                <w:rtl/>
              </w:rPr>
              <w:t>4</w:t>
            </w:r>
            <w:r w:rsidR="005B53E9" w:rsidRPr="005B53E9">
              <w:rPr>
                <w:rFonts w:ascii="Badr" w:hAnsi="Badr" w:cs="Badr"/>
                <w:webHidden/>
              </w:rPr>
              <w:fldChar w:fldCharType="end"/>
            </w:r>
          </w:hyperlink>
        </w:p>
        <w:p w14:paraId="50BAC832" w14:textId="69B94F32" w:rsidR="005B53E9" w:rsidRPr="005B53E9" w:rsidRDefault="00482311" w:rsidP="005B53E9">
          <w:pPr>
            <w:pStyle w:val="31"/>
            <w:rPr>
              <w:rFonts w:ascii="Badr" w:hAnsi="Badr" w:cs="Badr"/>
              <w:lang w:bidi="ar-SA"/>
            </w:rPr>
          </w:pPr>
          <w:hyperlink w:anchor="_Toc213749828" w:history="1">
            <w:r w:rsidR="005B53E9" w:rsidRPr="005B53E9">
              <w:rPr>
                <w:rStyle w:val="a9"/>
                <w:rFonts w:ascii="Badr" w:hAnsi="Badr" w:cs="Badr"/>
                <w:rtl/>
              </w:rPr>
              <w:t>پاسخ مرحوم آخوند به اشکال دوم در بحث ضد</w:t>
            </w:r>
            <w:r w:rsidR="005B53E9" w:rsidRPr="005B53E9">
              <w:rPr>
                <w:rFonts w:ascii="Badr" w:hAnsi="Badr" w:cs="Badr"/>
                <w:webHidden/>
              </w:rPr>
              <w:tab/>
            </w:r>
            <w:r w:rsidR="005B53E9" w:rsidRPr="005B53E9">
              <w:rPr>
                <w:rFonts w:ascii="Badr" w:hAnsi="Badr" w:cs="Badr"/>
                <w:webHidden/>
              </w:rPr>
              <w:fldChar w:fldCharType="begin"/>
            </w:r>
            <w:r w:rsidR="005B53E9" w:rsidRPr="005B53E9">
              <w:rPr>
                <w:rFonts w:ascii="Badr" w:hAnsi="Badr" w:cs="Badr"/>
                <w:webHidden/>
              </w:rPr>
              <w:instrText xml:space="preserve"> PAGEREF _Toc213749828 \h </w:instrText>
            </w:r>
            <w:r w:rsidR="005B53E9" w:rsidRPr="005B53E9">
              <w:rPr>
                <w:rFonts w:ascii="Badr" w:hAnsi="Badr" w:cs="Badr"/>
                <w:webHidden/>
              </w:rPr>
            </w:r>
            <w:r w:rsidR="005B53E9" w:rsidRPr="005B53E9">
              <w:rPr>
                <w:rFonts w:ascii="Badr" w:hAnsi="Badr" w:cs="Badr"/>
                <w:webHidden/>
              </w:rPr>
              <w:fldChar w:fldCharType="separate"/>
            </w:r>
            <w:r w:rsidR="001D6EF5">
              <w:rPr>
                <w:rFonts w:ascii="Badr" w:hAnsi="Badr" w:cs="Badr"/>
                <w:webHidden/>
                <w:rtl/>
              </w:rPr>
              <w:t>4</w:t>
            </w:r>
            <w:r w:rsidR="005B53E9" w:rsidRPr="005B53E9">
              <w:rPr>
                <w:rFonts w:ascii="Badr" w:hAnsi="Badr" w:cs="Badr"/>
                <w:webHidden/>
              </w:rPr>
              <w:fldChar w:fldCharType="end"/>
            </w:r>
          </w:hyperlink>
        </w:p>
        <w:p w14:paraId="289F0E8A" w14:textId="337CB8C2" w:rsidR="005B53E9" w:rsidRPr="005B53E9" w:rsidRDefault="00482311" w:rsidP="00423A59">
          <w:pPr>
            <w:pStyle w:val="21"/>
            <w:rPr>
              <w:rFonts w:ascii="Badr" w:hAnsi="Badr" w:cs="Badr"/>
              <w:b/>
              <w:bCs/>
              <w:noProof/>
              <w:lang w:bidi="ar-SA"/>
            </w:rPr>
          </w:pPr>
          <w:hyperlink w:anchor="_Toc213749829" w:history="1">
            <w:r w:rsidR="005B53E9" w:rsidRPr="005B53E9">
              <w:rPr>
                <w:rStyle w:val="a9"/>
                <w:rFonts w:ascii="Badr" w:hAnsi="Badr" w:cs="Badr"/>
                <w:b/>
                <w:bCs/>
                <w:noProof/>
                <w:rtl/>
              </w:rPr>
              <w:t>وجه پنجم: تمسک به اصل عملی (برائت)</w:t>
            </w:r>
            <w:r w:rsidR="005B53E9" w:rsidRPr="005B53E9">
              <w:rPr>
                <w:rFonts w:ascii="Badr" w:hAnsi="Badr" w:cs="Badr"/>
                <w:b/>
                <w:bCs/>
                <w:noProof/>
                <w:webHidden/>
              </w:rPr>
              <w:tab/>
            </w:r>
            <w:r w:rsidR="005B53E9" w:rsidRPr="005B53E9">
              <w:rPr>
                <w:rFonts w:ascii="Badr" w:hAnsi="Badr" w:cs="Badr"/>
                <w:b/>
                <w:bCs/>
                <w:noProof/>
                <w:webHidden/>
              </w:rPr>
              <w:fldChar w:fldCharType="begin"/>
            </w:r>
            <w:r w:rsidR="005B53E9" w:rsidRPr="005B53E9">
              <w:rPr>
                <w:rFonts w:ascii="Badr" w:hAnsi="Badr" w:cs="Badr"/>
                <w:b/>
                <w:bCs/>
                <w:noProof/>
                <w:webHidden/>
              </w:rPr>
              <w:instrText xml:space="preserve"> PAGEREF _Toc213749829 \h </w:instrText>
            </w:r>
            <w:r w:rsidR="005B53E9" w:rsidRPr="005B53E9">
              <w:rPr>
                <w:rFonts w:ascii="Badr" w:hAnsi="Badr" w:cs="Badr"/>
                <w:b/>
                <w:bCs/>
                <w:noProof/>
                <w:webHidden/>
              </w:rPr>
            </w:r>
            <w:r w:rsidR="005B53E9" w:rsidRPr="005B53E9">
              <w:rPr>
                <w:rFonts w:ascii="Badr" w:hAnsi="Badr" w:cs="Badr"/>
                <w:b/>
                <w:bCs/>
                <w:noProof/>
                <w:webHidden/>
              </w:rPr>
              <w:fldChar w:fldCharType="separate"/>
            </w:r>
            <w:r w:rsidR="001D6EF5">
              <w:rPr>
                <w:rFonts w:ascii="Badr" w:hAnsi="Badr" w:cs="Badr"/>
                <w:b/>
                <w:bCs/>
                <w:noProof/>
                <w:webHidden/>
                <w:rtl/>
              </w:rPr>
              <w:t>4</w:t>
            </w:r>
            <w:r w:rsidR="005B53E9" w:rsidRPr="005B53E9">
              <w:rPr>
                <w:rFonts w:ascii="Badr" w:hAnsi="Badr" w:cs="Badr"/>
                <w:b/>
                <w:bCs/>
                <w:noProof/>
                <w:webHidden/>
              </w:rPr>
              <w:fldChar w:fldCharType="end"/>
            </w:r>
          </w:hyperlink>
        </w:p>
        <w:p w14:paraId="78FD9EF1" w14:textId="6F1A776E" w:rsidR="005B53E9" w:rsidRPr="005B53E9" w:rsidRDefault="00482311" w:rsidP="005B53E9">
          <w:pPr>
            <w:pStyle w:val="31"/>
            <w:rPr>
              <w:rFonts w:ascii="Badr" w:hAnsi="Badr" w:cs="Badr"/>
              <w:lang w:bidi="ar-SA"/>
            </w:rPr>
          </w:pPr>
          <w:hyperlink w:anchor="_Toc213749830" w:history="1">
            <w:r w:rsidR="005B53E9" w:rsidRPr="005B53E9">
              <w:rPr>
                <w:rStyle w:val="a9"/>
                <w:rFonts w:ascii="Badr" w:hAnsi="Badr" w:cs="Badr"/>
                <w:rtl/>
              </w:rPr>
              <w:t>تقریب استدلال</w:t>
            </w:r>
            <w:r w:rsidR="005B53E9" w:rsidRPr="005B53E9">
              <w:rPr>
                <w:rStyle w:val="a9"/>
                <w:rFonts w:ascii="Badr" w:hAnsi="Badr" w:cs="Badr"/>
              </w:rPr>
              <w:t>:</w:t>
            </w:r>
            <w:r w:rsidR="005B53E9" w:rsidRPr="005B53E9">
              <w:rPr>
                <w:rFonts w:ascii="Badr" w:hAnsi="Badr" w:cs="Badr"/>
                <w:webHidden/>
              </w:rPr>
              <w:tab/>
            </w:r>
            <w:r w:rsidR="005B53E9" w:rsidRPr="005B53E9">
              <w:rPr>
                <w:rFonts w:ascii="Badr" w:hAnsi="Badr" w:cs="Badr"/>
                <w:webHidden/>
              </w:rPr>
              <w:fldChar w:fldCharType="begin"/>
            </w:r>
            <w:r w:rsidR="005B53E9" w:rsidRPr="005B53E9">
              <w:rPr>
                <w:rFonts w:ascii="Badr" w:hAnsi="Badr" w:cs="Badr"/>
                <w:webHidden/>
              </w:rPr>
              <w:instrText xml:space="preserve"> PAGEREF _Toc213749830 \h </w:instrText>
            </w:r>
            <w:r w:rsidR="005B53E9" w:rsidRPr="005B53E9">
              <w:rPr>
                <w:rFonts w:ascii="Badr" w:hAnsi="Badr" w:cs="Badr"/>
                <w:webHidden/>
              </w:rPr>
            </w:r>
            <w:r w:rsidR="005B53E9" w:rsidRPr="005B53E9">
              <w:rPr>
                <w:rFonts w:ascii="Badr" w:hAnsi="Badr" w:cs="Badr"/>
                <w:webHidden/>
              </w:rPr>
              <w:fldChar w:fldCharType="separate"/>
            </w:r>
            <w:r w:rsidR="001D6EF5">
              <w:rPr>
                <w:rFonts w:ascii="Badr" w:hAnsi="Badr" w:cs="Badr"/>
                <w:webHidden/>
                <w:rtl/>
              </w:rPr>
              <w:t>5</w:t>
            </w:r>
            <w:r w:rsidR="005B53E9" w:rsidRPr="005B53E9">
              <w:rPr>
                <w:rFonts w:ascii="Badr" w:hAnsi="Badr" w:cs="Badr"/>
                <w:webHidden/>
              </w:rPr>
              <w:fldChar w:fldCharType="end"/>
            </w:r>
          </w:hyperlink>
        </w:p>
        <w:p w14:paraId="10523EC9" w14:textId="34C78973" w:rsidR="00CE3328" w:rsidRDefault="000B734B" w:rsidP="00BD0E7B">
          <w:pPr>
            <w:rPr>
              <w:b/>
              <w:bCs/>
              <w:noProof/>
              <w:rtl/>
            </w:rPr>
          </w:pPr>
          <w:r w:rsidRPr="0036438A">
            <w:rPr>
              <w:rFonts w:ascii="Badr" w:eastAsiaTheme="minorEastAsia" w:hAnsi="Badr"/>
              <w:b/>
              <w:bCs/>
              <w:sz w:val="24"/>
              <w:szCs w:val="24"/>
              <w:lang w:val="en-US"/>
            </w:rPr>
            <w:fldChar w:fldCharType="end"/>
          </w:r>
        </w:p>
      </w:sdtContent>
    </w:sdt>
    <w:p w14:paraId="76C5C889" w14:textId="77777777" w:rsidR="00BD0E7B" w:rsidRPr="00BD0E7B" w:rsidRDefault="00BD0E7B" w:rsidP="00BD0E7B">
      <w:pPr>
        <w:pStyle w:val="1"/>
        <w:rPr>
          <w:lang w:val="en-US"/>
        </w:rPr>
      </w:pPr>
      <w:bookmarkStart w:id="0" w:name="_Toc213749824"/>
      <w:r w:rsidRPr="00BD0E7B">
        <w:rPr>
          <w:rtl/>
          <w:lang w:val="en-US" w:bidi="ar-SA"/>
        </w:rPr>
        <w:t>بررسی وجه چهارم: کفایت اشتمال بر ملاک برای صحت عمل و حصول امتثال</w:t>
      </w:r>
      <w:bookmarkEnd w:id="0"/>
    </w:p>
    <w:p w14:paraId="1CAB246F" w14:textId="77777777" w:rsidR="00BD0E7B" w:rsidRPr="00BD0E7B" w:rsidRDefault="00BD0E7B" w:rsidP="00BD0E7B">
      <w:pPr>
        <w:rPr>
          <w:lang w:val="en-US"/>
        </w:rPr>
      </w:pPr>
      <w:r w:rsidRPr="00BD0E7B">
        <w:rPr>
          <w:rtl/>
          <w:lang w:val="en-US" w:bidi="ar-SA"/>
        </w:rPr>
        <w:t>وجه چهارم که برای صحت مجمع در فرض پنجم و بلکه برای حصول امتثال در این فرض در کلام مرحوم آخوند (کفایة الأصول) ذکر شده، عبارت است از اینکه</w:t>
      </w:r>
      <w:r w:rsidRPr="00BD0E7B">
        <w:rPr>
          <w:lang w:val="en-US"/>
        </w:rPr>
        <w:t>:</w:t>
      </w:r>
    </w:p>
    <w:p w14:paraId="6CA1891E" w14:textId="29AF0A0C" w:rsidR="00BD0E7B" w:rsidRPr="005B53E9" w:rsidRDefault="00BD0E7B" w:rsidP="00423A59">
      <w:pPr>
        <w:pStyle w:val="a7"/>
        <w:numPr>
          <w:ilvl w:val="0"/>
          <w:numId w:val="41"/>
        </w:numPr>
        <w:rPr>
          <w:lang w:val="en-US"/>
        </w:rPr>
      </w:pPr>
      <w:r w:rsidRPr="005B53E9">
        <w:rPr>
          <w:rtl/>
          <w:lang w:val="en-US" w:bidi="ar-SA"/>
        </w:rPr>
        <w:t>اگرچه بنا بر مبنای تبعیت احکام از مصالح و مفاسد واقعیه و همچنین بر این مبنا که تضاد بین احکام خمسه حتی در مرحله انشاء نیز وجود دارد و مختص به مقام فعلیت نیست، مجمع امر و نهی (صلات در دار غصبی) امر ندارد و این فرد (مجمع) مصداقی برای طبیعت صلات «بما هی مأمور بها» نیست؛</w:t>
      </w:r>
    </w:p>
    <w:p w14:paraId="0C163917" w14:textId="77777777" w:rsidR="00BD0E7B" w:rsidRPr="005B53E9" w:rsidRDefault="00BD0E7B" w:rsidP="005B53E9">
      <w:pPr>
        <w:pStyle w:val="a7"/>
        <w:numPr>
          <w:ilvl w:val="0"/>
          <w:numId w:val="41"/>
        </w:numPr>
        <w:rPr>
          <w:lang w:val="en-US"/>
        </w:rPr>
      </w:pPr>
      <w:r w:rsidRPr="005B53E9">
        <w:rPr>
          <w:rtl/>
          <w:lang w:val="en-US" w:bidi="ar-SA"/>
        </w:rPr>
        <w:t>با این حال می‌توان به صحت این مجمع، بلکه به حصول امتثال حکم کرد؛ زیرا این مجمع مشتمل بر ملاک و مصلحت ملزمه است، همانند سایر افراد صلات (مانند صلات در غیر دار غصبی). این عمل مشتمل بر مصلحت و ملاک است و مصداق «صلات بما هی صلاة» محسوب می‌شود؛ هرچند مصداق «صلات بما هی مأمور بها» نباشد</w:t>
      </w:r>
      <w:r w:rsidRPr="005B53E9">
        <w:rPr>
          <w:lang w:val="en-US"/>
        </w:rPr>
        <w:t>.</w:t>
      </w:r>
    </w:p>
    <w:p w14:paraId="4B98DE21" w14:textId="678498AF" w:rsidR="00BD0E7B" w:rsidRPr="00BD0E7B" w:rsidRDefault="00BD0E7B" w:rsidP="005B53E9">
      <w:pPr>
        <w:rPr>
          <w:lang w:val="en-US"/>
        </w:rPr>
      </w:pPr>
      <w:r w:rsidRPr="00BD0E7B">
        <w:rPr>
          <w:rtl/>
          <w:lang w:val="en-US" w:bidi="ar-SA"/>
        </w:rPr>
        <w:t xml:space="preserve">از آنجا که این عمل، فردی از طبیعت صلات است، اتیان این فرد از صلات (بما هی صلاة) به داعی امر متعلق به «طبیعی صلات»، مصداق امتثال امر صلاتی خواهد بود. بنابراین، حکم به </w:t>
      </w:r>
      <w:r w:rsidRPr="00BD0E7B">
        <w:rPr>
          <w:b/>
          <w:bCs/>
          <w:rtl/>
          <w:lang w:val="en-US" w:bidi="ar-SA"/>
        </w:rPr>
        <w:t>حصول الامتثال</w:t>
      </w:r>
      <w:r w:rsidRPr="00BD0E7B">
        <w:rPr>
          <w:lang w:val="en-US"/>
        </w:rPr>
        <w:t xml:space="preserve"> </w:t>
      </w:r>
      <w:r w:rsidRPr="00BD0E7B">
        <w:rPr>
          <w:rtl/>
          <w:lang w:val="en-US" w:bidi="ar-SA"/>
        </w:rPr>
        <w:t xml:space="preserve">می‌شود، نه صرفاً </w:t>
      </w:r>
      <w:r w:rsidRPr="00BD0E7B">
        <w:rPr>
          <w:b/>
          <w:bCs/>
          <w:rtl/>
          <w:lang w:val="en-US" w:bidi="ar-SA"/>
        </w:rPr>
        <w:t>سقوط الأمر</w:t>
      </w:r>
      <w:r w:rsidR="005B53E9">
        <w:rPr>
          <w:rFonts w:hint="cs"/>
          <w:b/>
          <w:bCs/>
          <w:rtl/>
          <w:lang w:val="en-US"/>
        </w:rPr>
        <w:t>.</w:t>
      </w:r>
    </w:p>
    <w:p w14:paraId="428E695C" w14:textId="77777777" w:rsidR="00BD0E7B" w:rsidRPr="00BD0E7B" w:rsidRDefault="00BD0E7B" w:rsidP="00BD0E7B">
      <w:pPr>
        <w:rPr>
          <w:lang w:val="en-US"/>
        </w:rPr>
      </w:pPr>
      <w:r w:rsidRPr="00BD0E7B">
        <w:rPr>
          <w:rtl/>
          <w:lang w:val="en-US" w:bidi="ar-SA"/>
        </w:rPr>
        <w:t>البته عبارات مرحوم آخوند در این قسمت از کفایه، با آنچه در بحث «ضد» فرموده‌اند، تفاوت‌هایی دارد. ایشان در محل کلام [بحث اجتماع امر و نهی] اشاره کرده است که ما همان‌طور که در بحث ضد گفتیم</w:t>
      </w:r>
      <w:r w:rsidRPr="00BD0E7B">
        <w:rPr>
          <w:lang w:val="en-US"/>
        </w:rPr>
        <w:t>.</w:t>
      </w:r>
    </w:p>
    <w:p w14:paraId="6C6CD24D" w14:textId="77777777" w:rsidR="00BD0E7B" w:rsidRPr="00BD0E7B" w:rsidRDefault="00BD0E7B" w:rsidP="005B53E9">
      <w:pPr>
        <w:pStyle w:val="2"/>
        <w:rPr>
          <w:lang w:val="en-US"/>
        </w:rPr>
      </w:pPr>
      <w:r w:rsidRPr="00BD0E7B">
        <w:rPr>
          <w:rtl/>
          <w:lang w:val="en-US" w:bidi="ar-SA"/>
        </w:rPr>
        <w:t>نقد و مقایسه: تفاوت بیان آخوند در این بحث با بحث ضد</w:t>
      </w:r>
    </w:p>
    <w:p w14:paraId="25CCB2AF" w14:textId="77777777" w:rsidR="00BD0E7B" w:rsidRPr="00BD0E7B" w:rsidRDefault="00BD0E7B" w:rsidP="00BD0E7B">
      <w:pPr>
        <w:rPr>
          <w:lang w:val="en-US"/>
        </w:rPr>
      </w:pPr>
      <w:r w:rsidRPr="00BD0E7B">
        <w:rPr>
          <w:rtl/>
          <w:lang w:val="en-US" w:bidi="ar-SA"/>
        </w:rPr>
        <w:t>عبارتی که در بحث ضد فرموده‌اند (در کفایه) دقیق‌تر است. در محل کلام فعلی، عبارت مرحوم آخوند در کفایه این است که</w:t>
      </w:r>
      <w:r w:rsidRPr="00BD0E7B">
        <w:rPr>
          <w:lang w:val="en-US"/>
        </w:rPr>
        <w:t>:</w:t>
      </w:r>
    </w:p>
    <w:p w14:paraId="38EFADD4" w14:textId="5D020F11" w:rsidR="00BD0E7B" w:rsidRPr="00BD0E7B" w:rsidRDefault="005B53E9" w:rsidP="00BD0E7B">
      <w:pPr>
        <w:rPr>
          <w:lang w:val="en-US"/>
        </w:rPr>
      </w:pPr>
      <w:r>
        <w:rPr>
          <w:rFonts w:hint="cs"/>
          <w:b/>
          <w:bCs/>
          <w:rtl/>
          <w:lang w:val="en-US"/>
        </w:rPr>
        <w:lastRenderedPageBreak/>
        <w:t>«</w:t>
      </w:r>
      <w:r w:rsidR="00BD0E7B" w:rsidRPr="00BD0E7B">
        <w:rPr>
          <w:b/>
          <w:bCs/>
          <w:rtl/>
          <w:lang w:val="en-US" w:bidi="ar-SA"/>
        </w:rPr>
        <w:t>یُمکِنُ أن یُقالَ بِحُصُولِ الامتثالِ مَعَ ذلِک، فإنَّ العَقلَ لا یَری تَفاوُتاً بَینَهُ و بَینَ سائِرِ الأفرادِ فِی الوَفاءِ بِالغَرَض</w:t>
      </w:r>
      <w:r>
        <w:rPr>
          <w:rFonts w:hint="cs"/>
          <w:b/>
          <w:bCs/>
          <w:rtl/>
          <w:lang w:val="en-US"/>
        </w:rPr>
        <w:t>»</w:t>
      </w:r>
    </w:p>
    <w:p w14:paraId="5DEC7814" w14:textId="77777777" w:rsidR="00BD0E7B" w:rsidRPr="00BD0E7B" w:rsidRDefault="00BD0E7B" w:rsidP="00BD0E7B">
      <w:pPr>
        <w:rPr>
          <w:lang w:val="en-US"/>
        </w:rPr>
      </w:pPr>
      <w:r w:rsidRPr="00BD0E7B">
        <w:rPr>
          <w:rtl/>
          <w:lang w:val="en-US" w:bidi="ar-SA"/>
        </w:rPr>
        <w:t>در این عبارت، این حکم عقلی را مبنا قرار داده‌اند که عقل تفاوتی میان این مجمع و سایر افراد در «وفاء به غرض» نمی‌بیند</w:t>
      </w:r>
      <w:r w:rsidRPr="00BD0E7B">
        <w:rPr>
          <w:lang w:val="en-US"/>
        </w:rPr>
        <w:t>.</w:t>
      </w:r>
    </w:p>
    <w:p w14:paraId="53C77DD7" w14:textId="77777777" w:rsidR="00BD0E7B" w:rsidRPr="00BD0E7B" w:rsidRDefault="00BD0E7B" w:rsidP="00BD0E7B">
      <w:pPr>
        <w:rPr>
          <w:lang w:val="en-US"/>
        </w:rPr>
      </w:pPr>
      <w:r w:rsidRPr="00BD0E7B">
        <w:rPr>
          <w:rtl/>
          <w:lang w:val="en-US" w:bidi="ar-SA"/>
        </w:rPr>
        <w:t>اما بیانی که در بحث ضد فرموده‌اند، توجیه بهتری دارد. در آنجا فرموده‌اند</w:t>
      </w:r>
      <w:r w:rsidRPr="00BD0E7B">
        <w:rPr>
          <w:lang w:val="en-US"/>
        </w:rPr>
        <w:t>:</w:t>
      </w:r>
    </w:p>
    <w:p w14:paraId="2733947F" w14:textId="7BF09BC8" w:rsidR="00BD0E7B" w:rsidRPr="00BD0E7B" w:rsidRDefault="005B53E9" w:rsidP="00BD0E7B">
      <w:pPr>
        <w:rPr>
          <w:lang w:val="en-US"/>
        </w:rPr>
      </w:pPr>
      <w:r>
        <w:rPr>
          <w:rFonts w:hint="cs"/>
          <w:b/>
          <w:bCs/>
          <w:rtl/>
          <w:lang w:val="en-US"/>
        </w:rPr>
        <w:t>«</w:t>
      </w:r>
      <w:r w:rsidR="00BD0E7B" w:rsidRPr="00BD0E7B">
        <w:rPr>
          <w:b/>
          <w:bCs/>
          <w:rtl/>
          <w:lang w:val="en-US" w:bidi="ar-SA"/>
        </w:rPr>
        <w:t>و إن کانَ هذا الفَردُ [الفرد المزاحم بالأهم] خارِجاً عَن تَحتِها بِما هِیَ مأمُورٌ بِها، إلّا أنَّها لَمّا کانَ وافِیاً بِغَرَضِها کَالباقِی تَحتَها</w:t>
      </w:r>
      <w:r>
        <w:rPr>
          <w:rFonts w:hint="cs"/>
          <w:b/>
          <w:bCs/>
          <w:rtl/>
          <w:lang w:val="en-US"/>
        </w:rPr>
        <w:t>»</w:t>
      </w:r>
    </w:p>
    <w:p w14:paraId="00D49B7D" w14:textId="77777777" w:rsidR="00BD0E7B" w:rsidRPr="00BD0E7B" w:rsidRDefault="00BD0E7B" w:rsidP="00BD0E7B">
      <w:pPr>
        <w:rPr>
          <w:lang w:val="en-US"/>
        </w:rPr>
      </w:pPr>
      <w:r w:rsidRPr="00BD0E7B">
        <w:rPr>
          <w:rtl/>
          <w:lang w:val="en-US" w:bidi="ar-SA"/>
        </w:rPr>
        <w:t>ایشان از آنجایی که این فرد (مجمع یا محل تنافی) مانند بقیه افراد در اشتمال بر ملاک است، [به سراغ حکم عقل رفته‌اند]. یعنی از جهت اشتمال بر ملاک، از حکم عقل کمک نگرفته‌اند، زیرا اشتمال بر ملاک با قطع نظر از حکم عقل، محرز است. فرموده‌اند چون این فرد مانند بقیه افراد در وفاء به غرض (یعنی در اشتمال بر ملاک) است، عقل می‌گوید اتیان این فرد به داعی امر به طبیعت، با اتیان سایر افراد به داعی همان امر، تفاوتی ندارد. این حکم عقلی را در این مرحله دوم به کار گرفته‌اند</w:t>
      </w:r>
      <w:r w:rsidRPr="00BD0E7B">
        <w:rPr>
          <w:lang w:val="en-US"/>
        </w:rPr>
        <w:t>:</w:t>
      </w:r>
    </w:p>
    <w:p w14:paraId="775DCB98" w14:textId="0D74CED2" w:rsidR="00BD0E7B" w:rsidRPr="00BD0E7B" w:rsidRDefault="005B53E9" w:rsidP="00BD0E7B">
      <w:pPr>
        <w:rPr>
          <w:lang w:val="en-US"/>
        </w:rPr>
      </w:pPr>
      <w:r>
        <w:rPr>
          <w:rFonts w:hint="cs"/>
          <w:b/>
          <w:bCs/>
          <w:rtl/>
          <w:lang w:val="en-US"/>
        </w:rPr>
        <w:t>«</w:t>
      </w:r>
      <w:r w:rsidR="00BD0E7B" w:rsidRPr="00BD0E7B">
        <w:rPr>
          <w:b/>
          <w:bCs/>
          <w:rtl/>
          <w:lang w:val="en-US" w:bidi="ar-SA"/>
        </w:rPr>
        <w:t>کانَ عَقلاً مِثلَهُ فِی الإتیانِ بِهِ فِی مَقامِ الامتثال، و الإتیانُ بِهِ بِداعِی ذلِکَ الأمرِ بِلا تَفاوُتٍ فِی نَظَرِهِ [أی فی نظر العقل] بَینَهُما أصلاً</w:t>
      </w:r>
      <w:r>
        <w:rPr>
          <w:rFonts w:hint="cs"/>
          <w:b/>
          <w:bCs/>
          <w:rtl/>
          <w:lang w:val="en-US"/>
        </w:rPr>
        <w:t>»</w:t>
      </w:r>
    </w:p>
    <w:p w14:paraId="3351F8B6" w14:textId="09D408B2" w:rsidR="00BD0E7B" w:rsidRPr="00BD0E7B" w:rsidRDefault="00BD0E7B" w:rsidP="005B53E9">
      <w:pPr>
        <w:rPr>
          <w:lang w:val="en-US"/>
        </w:rPr>
      </w:pPr>
      <w:r w:rsidRPr="00BD0E7B">
        <w:rPr>
          <w:rtl/>
          <w:lang w:val="en-US" w:bidi="ar-SA"/>
        </w:rPr>
        <w:t>بنابراین، تقریب صحیح برای این وجه چهارم این است که مجمع امر و نهی (صلات در دار غصبی) مشتمل بر ملاک امر است، همانند بقیه افراد صلات (مثل صلات در مسجد یا مدرسه). از آنجا که مثل سایر افراد است و مصداقی برای طبیعت «بما هی صلاة» محسوب می‌شود، همین امر موجب می‌شود که عقل حکم کند همان‌طور که اتیان بقیه افراد به قصد امر به «طبیعی صلات» مصداق امتثال است، اتیان این فرد نیز به داعی همان امر، مصداق امتثال خواهد بود</w:t>
      </w:r>
      <w:r w:rsidRPr="00BD0E7B">
        <w:rPr>
          <w:lang w:val="en-US"/>
        </w:rPr>
        <w:t>.</w:t>
      </w:r>
      <w:r w:rsidRPr="00BD0E7B">
        <w:rPr>
          <w:rtl/>
          <w:lang w:val="en-US" w:bidi="ar-SA"/>
        </w:rPr>
        <w:t>این، توضیح و تقریب وجه چهارم بود</w:t>
      </w:r>
      <w:r w:rsidRPr="00BD0E7B">
        <w:rPr>
          <w:lang w:val="en-US"/>
        </w:rPr>
        <w:t>.</w:t>
      </w:r>
    </w:p>
    <w:p w14:paraId="6ABF2A18" w14:textId="77777777" w:rsidR="00BD0E7B" w:rsidRPr="00BD0E7B" w:rsidRDefault="00BD0E7B" w:rsidP="00BD0E7B">
      <w:pPr>
        <w:pStyle w:val="2"/>
        <w:rPr>
          <w:lang w:val="en-US"/>
        </w:rPr>
      </w:pPr>
      <w:bookmarkStart w:id="1" w:name="_Toc213749825"/>
      <w:r w:rsidRPr="00BD0E7B">
        <w:rPr>
          <w:rtl/>
          <w:lang w:val="en-US" w:bidi="ar-SA"/>
        </w:rPr>
        <w:t>اشکالات مرحوم ایروانی بر وجه چهارم</w:t>
      </w:r>
      <w:bookmarkEnd w:id="1"/>
    </w:p>
    <w:p w14:paraId="42BEBB9A" w14:textId="77777777" w:rsidR="00BD0E7B" w:rsidRPr="00BD0E7B" w:rsidRDefault="00BD0E7B" w:rsidP="00BD0E7B">
      <w:pPr>
        <w:rPr>
          <w:lang w:val="en-US"/>
        </w:rPr>
      </w:pPr>
      <w:r w:rsidRPr="00BD0E7B">
        <w:rPr>
          <w:rtl/>
          <w:lang w:val="en-US" w:bidi="ar-SA"/>
        </w:rPr>
        <w:t>با توجه به این توضیح، روشن شد که تمامیت این وجه بر دو مقدمه استوار است</w:t>
      </w:r>
      <w:r w:rsidRPr="00BD0E7B">
        <w:rPr>
          <w:lang w:val="en-US"/>
        </w:rPr>
        <w:t>:</w:t>
      </w:r>
    </w:p>
    <w:p w14:paraId="2A2FD777" w14:textId="77777777" w:rsidR="00BD0E7B" w:rsidRPr="00BD0E7B" w:rsidRDefault="00BD0E7B" w:rsidP="00BD0E7B">
      <w:pPr>
        <w:numPr>
          <w:ilvl w:val="0"/>
          <w:numId w:val="39"/>
        </w:numPr>
        <w:rPr>
          <w:lang w:val="en-US"/>
        </w:rPr>
      </w:pPr>
      <w:r w:rsidRPr="00BD0E7B">
        <w:rPr>
          <w:rtl/>
          <w:lang w:val="en-US" w:bidi="ar-SA"/>
        </w:rPr>
        <w:t>این فرد (مجمع) همان ملاکی را که در سایر افراد طبیعت صلات وجود دارد، داراست و از این جهت قابلیت تقرب الی المولا را دارد</w:t>
      </w:r>
      <w:r w:rsidRPr="00BD0E7B">
        <w:rPr>
          <w:lang w:val="en-US"/>
        </w:rPr>
        <w:t>.</w:t>
      </w:r>
    </w:p>
    <w:p w14:paraId="0869C5E1" w14:textId="77777777" w:rsidR="00BD0E7B" w:rsidRPr="00BD0E7B" w:rsidRDefault="00BD0E7B" w:rsidP="00BD0E7B">
      <w:pPr>
        <w:numPr>
          <w:ilvl w:val="0"/>
          <w:numId w:val="39"/>
        </w:numPr>
        <w:rPr>
          <w:lang w:val="en-US"/>
        </w:rPr>
      </w:pPr>
      <w:r w:rsidRPr="00BD0E7B">
        <w:rPr>
          <w:rtl/>
          <w:lang w:val="en-US" w:bidi="ar-SA"/>
        </w:rPr>
        <w:t>از آنجا که این فرد مانند بقیه افراد ملاک را دارد، اتیان آن به داعی امر متعلق به طبیعت، مصداق امتثال است؛ هرچند از دایره طبیعت «بما هی مأمور بها» خارج باشد</w:t>
      </w:r>
      <w:r w:rsidRPr="00BD0E7B">
        <w:rPr>
          <w:lang w:val="en-US"/>
        </w:rPr>
        <w:t>.</w:t>
      </w:r>
    </w:p>
    <w:p w14:paraId="5CD8ED74" w14:textId="77777777" w:rsidR="00BD0E7B" w:rsidRPr="00BD0E7B" w:rsidRDefault="00BD0E7B" w:rsidP="00BD0E7B">
      <w:pPr>
        <w:rPr>
          <w:lang w:val="en-US"/>
        </w:rPr>
      </w:pPr>
      <w:r w:rsidRPr="00BD0E7B">
        <w:rPr>
          <w:rtl/>
          <w:lang w:val="en-US" w:bidi="ar-SA"/>
        </w:rPr>
        <w:t>مرحوم ایروانی به هر دو مقدمه اشکال کرده‌اند</w:t>
      </w:r>
      <w:r w:rsidRPr="00BD0E7B">
        <w:rPr>
          <w:lang w:val="en-US"/>
        </w:rPr>
        <w:t>.</w:t>
      </w:r>
    </w:p>
    <w:p w14:paraId="07C817F0" w14:textId="77777777" w:rsidR="00BD0E7B" w:rsidRDefault="00BD0E7B" w:rsidP="00BD0E7B">
      <w:pPr>
        <w:pStyle w:val="3"/>
        <w:rPr>
          <w:rtl/>
        </w:rPr>
      </w:pPr>
      <w:bookmarkStart w:id="2" w:name="_Toc213749826"/>
      <w:r w:rsidRPr="00BD0E7B">
        <w:rPr>
          <w:rtl/>
          <w:lang w:bidi="ar-SA"/>
        </w:rPr>
        <w:t>اشکال اول (ناظر به مقدمه اول)</w:t>
      </w:r>
      <w:r w:rsidRPr="00BD0E7B">
        <w:t>:</w:t>
      </w:r>
      <w:bookmarkEnd w:id="2"/>
    </w:p>
    <w:p w14:paraId="091A5522" w14:textId="11B27F3E" w:rsidR="00BD0E7B" w:rsidRPr="00BD0E7B" w:rsidRDefault="00BD0E7B" w:rsidP="00BD0E7B">
      <w:pPr>
        <w:rPr>
          <w:lang w:val="en-US"/>
        </w:rPr>
      </w:pPr>
      <w:r w:rsidRPr="00BD0E7B">
        <w:rPr>
          <w:rtl/>
          <w:lang w:val="en-US" w:bidi="ar-SA"/>
        </w:rPr>
        <w:t>اشکال اول ایشان متوجه مقدمه اول است. ایشان می‌فرمایند در فرض پنجم، ما قائل به امتناع هستیم و جانب نهی را ترجیح داده‌ایم. وقتی جانب نهی در این مجمع (صلات در دار غصبی) مقدم شد، معنای تقدیم جانب نهی بر جانب امر این است که مصلحت موجود در این مجمع، «مصلحت مغلوبه» و «مستهلَک در جنب مفسده» است، نه مصلحت غالب بر مفسده</w:t>
      </w:r>
      <w:r w:rsidRPr="00BD0E7B">
        <w:rPr>
          <w:lang w:val="en-US"/>
        </w:rPr>
        <w:t>.</w:t>
      </w:r>
    </w:p>
    <w:p w14:paraId="5240B299" w14:textId="77777777" w:rsidR="00BD0E7B" w:rsidRPr="00BD0E7B" w:rsidRDefault="00BD0E7B" w:rsidP="00BD0E7B">
      <w:pPr>
        <w:rPr>
          <w:lang w:val="en-US"/>
        </w:rPr>
      </w:pPr>
      <w:r w:rsidRPr="00BD0E7B">
        <w:rPr>
          <w:rtl/>
          <w:lang w:val="en-US" w:bidi="ar-SA"/>
        </w:rPr>
        <w:lastRenderedPageBreak/>
        <w:t>وقتی مصلحت، مغلوبه و مندکّ در جنب مفسده باشد، چنین مصلحتی فعل را قابل تقرب الی المولا قرار نمی‌دهد. بله، مصلحت دارد، ولی چون مغلوب است، «مصلحت مغلوبه» و «عدم مصلحت» یکسان (سیّان) هستند و هیچ اثری بر آن مترتب نمی‌شود</w:t>
      </w:r>
      <w:r w:rsidRPr="00BD0E7B">
        <w:rPr>
          <w:lang w:val="en-US"/>
        </w:rPr>
        <w:t>.</w:t>
      </w:r>
    </w:p>
    <w:p w14:paraId="171068BB" w14:textId="3B212595" w:rsidR="00BD0E7B" w:rsidRPr="00BD0E7B" w:rsidRDefault="00BD0E7B" w:rsidP="00423A59">
      <w:pPr>
        <w:rPr>
          <w:lang w:val="en-US"/>
        </w:rPr>
      </w:pPr>
      <w:r w:rsidRPr="00BD0E7B">
        <w:rPr>
          <w:rtl/>
          <w:lang w:val="en-US" w:bidi="ar-SA"/>
        </w:rPr>
        <w:t>هرچند در فرض پنجم به دلیل عدم تنجز نهی، صدور عمل از مکلف به وجه مبغوض و مبّعد عن المولا نیست، اما صلاحیت تقرب را نیز ندارد؛ زیرا فرض تقدیم جانب نهی، به معنای غلبه مفسده بر مصلحت و مندک بودن مصلحت است</w:t>
      </w:r>
      <w:r w:rsidRPr="00BD0E7B">
        <w:rPr>
          <w:lang w:val="en-US"/>
        </w:rPr>
        <w:t>.</w:t>
      </w:r>
    </w:p>
    <w:p w14:paraId="3F88E27A" w14:textId="77777777" w:rsidR="00BD0E7B" w:rsidRDefault="00BD0E7B" w:rsidP="00BD0E7B">
      <w:pPr>
        <w:pStyle w:val="3"/>
        <w:rPr>
          <w:rtl/>
        </w:rPr>
      </w:pPr>
      <w:bookmarkStart w:id="3" w:name="_Toc213749827"/>
      <w:r w:rsidRPr="00BD0E7B">
        <w:rPr>
          <w:rtl/>
          <w:lang w:bidi="ar-SA"/>
        </w:rPr>
        <w:t>اشکال دوم (ناظر به مقدمه دوم)</w:t>
      </w:r>
      <w:r w:rsidRPr="00BD0E7B">
        <w:t>:</w:t>
      </w:r>
      <w:bookmarkEnd w:id="3"/>
    </w:p>
    <w:p w14:paraId="6B8E9CE8" w14:textId="7DF8740C" w:rsidR="00BD0E7B" w:rsidRPr="00BD0E7B" w:rsidRDefault="00BD0E7B" w:rsidP="00BD0E7B">
      <w:pPr>
        <w:rPr>
          <w:lang w:val="en-US"/>
        </w:rPr>
      </w:pPr>
      <w:r w:rsidRPr="00BD0E7B">
        <w:rPr>
          <w:rtl/>
          <w:lang w:val="en-US" w:bidi="ar-SA"/>
        </w:rPr>
        <w:t>اشکال دوم مرحوم ایروانی این است که حتی اگر بپذیریم که مجمع، مشتمل بر مصلحتی قابل تقرب است (و از اشکال اول رفع ید کنیم)، ولی بعد از آنکه شما اعتراف کردید این مجمع، فردی از طبیعت «بما هی مأمور بها» نیست و از دایره تعلق امر خارج است، دیگر اتیان آن به داعی امر به طبیعت، امتثال آن امر محسوب نمی‌شود</w:t>
      </w:r>
      <w:r w:rsidRPr="00BD0E7B">
        <w:rPr>
          <w:lang w:val="en-US"/>
        </w:rPr>
        <w:t>.</w:t>
      </w:r>
    </w:p>
    <w:p w14:paraId="59265B5A" w14:textId="3AD030E9" w:rsidR="00BD0E7B" w:rsidRDefault="00BD0E7B" w:rsidP="00BD0E7B">
      <w:pPr>
        <w:rPr>
          <w:rFonts w:hint="cs"/>
          <w:rtl/>
          <w:lang w:val="en-US"/>
        </w:rPr>
      </w:pPr>
      <w:r w:rsidRPr="00BD0E7B">
        <w:rPr>
          <w:rtl/>
          <w:lang w:val="en-US" w:bidi="ar-SA"/>
        </w:rPr>
        <w:t>امتثال امر در جایی است که شما «متعلق امر» را به داعی همان امر انجام دهید</w:t>
      </w:r>
      <w:r w:rsidR="005B53E9">
        <w:rPr>
          <w:rFonts w:hint="cs"/>
          <w:rtl/>
          <w:lang w:val="en-US" w:bidi="ar-SA"/>
        </w:rPr>
        <w:t>«</w:t>
      </w:r>
      <w:r w:rsidRPr="00BD0E7B">
        <w:rPr>
          <w:b/>
          <w:bCs/>
          <w:rtl/>
          <w:lang w:val="en-US" w:bidi="ar-SA"/>
        </w:rPr>
        <w:t>الأمرُ لا یَدعُو إلّا إلی مُتعلَّقِه</w:t>
      </w:r>
      <w:r w:rsidR="005B53E9">
        <w:rPr>
          <w:rFonts w:hint="cs"/>
          <w:b/>
          <w:bCs/>
          <w:rtl/>
          <w:lang w:val="en-US"/>
        </w:rPr>
        <w:t xml:space="preserve">» </w:t>
      </w:r>
      <w:r w:rsidRPr="00BD0E7B">
        <w:rPr>
          <w:rtl/>
          <w:lang w:val="en-US" w:bidi="ar-SA"/>
        </w:rPr>
        <w:t>امر فقط به سوی متعلق خودش دعوت می‌کند. وقتی شما اعتراف کردید که این مجمع از دایره متعلق امر خارج است، اتیان این مجمع به داعی امری که به غیر او تعلق گرفته، مانند این است که کسی روزه بگیرد به داعی امر متعلق به صلات! چنین عملی امتثال امر صلات محسوب نمی‌شود</w:t>
      </w:r>
      <w:r w:rsidRPr="00BD0E7B">
        <w:rPr>
          <w:lang w:val="en-US"/>
        </w:rPr>
        <w:t>.</w:t>
      </w:r>
    </w:p>
    <w:p w14:paraId="03F99212" w14:textId="04427541" w:rsidR="00423A59" w:rsidRPr="00BD0E7B" w:rsidRDefault="00423A59" w:rsidP="00423A59">
      <w:pPr>
        <w:rPr>
          <w:lang w:val="en-US"/>
        </w:rPr>
      </w:pPr>
      <w:r>
        <w:rPr>
          <w:rFonts w:hint="cs"/>
          <w:rtl/>
        </w:rPr>
        <w:t xml:space="preserve">در بحث ضد هم توضیح داده </w:t>
      </w:r>
      <w:proofErr w:type="spellStart"/>
      <w:r>
        <w:rPr>
          <w:rFonts w:hint="cs"/>
          <w:rtl/>
        </w:rPr>
        <w:t>اند</w:t>
      </w:r>
      <w:proofErr w:type="spellEnd"/>
      <w:r>
        <w:rPr>
          <w:rFonts w:hint="cs"/>
          <w:rtl/>
        </w:rPr>
        <w:t xml:space="preserve"> که اگر </w:t>
      </w:r>
      <w:proofErr w:type="spellStart"/>
      <w:r>
        <w:rPr>
          <w:rFonts w:hint="cs"/>
          <w:rtl/>
        </w:rPr>
        <w:t>امتثال</w:t>
      </w:r>
      <w:proofErr w:type="spellEnd"/>
      <w:r>
        <w:rPr>
          <w:rFonts w:hint="cs"/>
          <w:rtl/>
        </w:rPr>
        <w:t xml:space="preserve"> </w:t>
      </w:r>
      <w:proofErr w:type="spellStart"/>
      <w:r>
        <w:rPr>
          <w:rFonts w:hint="cs"/>
          <w:rtl/>
        </w:rPr>
        <w:t>اتیان</w:t>
      </w:r>
      <w:proofErr w:type="spellEnd"/>
      <w:r>
        <w:rPr>
          <w:rFonts w:hint="cs"/>
          <w:rtl/>
        </w:rPr>
        <w:t xml:space="preserve"> به عملی باشد که محصّل غرض </w:t>
      </w:r>
      <w:proofErr w:type="spellStart"/>
      <w:r>
        <w:rPr>
          <w:rFonts w:hint="cs"/>
          <w:rtl/>
        </w:rPr>
        <w:t>مولاست</w:t>
      </w:r>
      <w:proofErr w:type="spellEnd"/>
      <w:r>
        <w:rPr>
          <w:rFonts w:hint="cs"/>
          <w:rtl/>
        </w:rPr>
        <w:t xml:space="preserve"> و از اشکال اول نیز رفع ید شود، چون با </w:t>
      </w:r>
      <w:proofErr w:type="spellStart"/>
      <w:r>
        <w:rPr>
          <w:rFonts w:hint="cs"/>
          <w:rtl/>
        </w:rPr>
        <w:t>اتیان</w:t>
      </w:r>
      <w:proofErr w:type="spellEnd"/>
      <w:r>
        <w:rPr>
          <w:rFonts w:hint="cs"/>
          <w:rtl/>
        </w:rPr>
        <w:t xml:space="preserve"> به مجمع غرض حاصل شده، </w:t>
      </w:r>
      <w:proofErr w:type="spellStart"/>
      <w:r>
        <w:rPr>
          <w:rFonts w:hint="cs"/>
          <w:rtl/>
        </w:rPr>
        <w:t>امتثال</w:t>
      </w:r>
      <w:proofErr w:type="spellEnd"/>
      <w:r>
        <w:rPr>
          <w:rFonts w:hint="cs"/>
          <w:rtl/>
        </w:rPr>
        <w:t xml:space="preserve"> صورت گرفته است. اما اگر گفتیم که </w:t>
      </w:r>
      <w:proofErr w:type="spellStart"/>
      <w:r>
        <w:rPr>
          <w:rFonts w:hint="cs"/>
          <w:rtl/>
        </w:rPr>
        <w:t>امتثال</w:t>
      </w:r>
      <w:proofErr w:type="spellEnd"/>
      <w:r>
        <w:rPr>
          <w:rFonts w:hint="cs"/>
          <w:rtl/>
        </w:rPr>
        <w:t xml:space="preserve"> عبارت است از </w:t>
      </w:r>
      <w:proofErr w:type="spellStart"/>
      <w:r>
        <w:rPr>
          <w:rFonts w:hint="cs"/>
          <w:rtl/>
        </w:rPr>
        <w:t>اتیان</w:t>
      </w:r>
      <w:proofErr w:type="spellEnd"/>
      <w:r>
        <w:rPr>
          <w:rFonts w:hint="cs"/>
          <w:rtl/>
        </w:rPr>
        <w:t xml:space="preserve"> عمل به داعی امر </w:t>
      </w:r>
      <w:proofErr w:type="spellStart"/>
      <w:r>
        <w:rPr>
          <w:rFonts w:hint="cs"/>
          <w:rtl/>
        </w:rPr>
        <w:t>مولا</w:t>
      </w:r>
      <w:proofErr w:type="spellEnd"/>
      <w:r>
        <w:rPr>
          <w:rFonts w:hint="cs"/>
          <w:rtl/>
        </w:rPr>
        <w:t xml:space="preserve">، به این معنا که امر </w:t>
      </w:r>
      <w:proofErr w:type="spellStart"/>
      <w:r>
        <w:rPr>
          <w:rFonts w:hint="cs"/>
          <w:rtl/>
        </w:rPr>
        <w:t>مولا</w:t>
      </w:r>
      <w:proofErr w:type="spellEnd"/>
      <w:r>
        <w:rPr>
          <w:rFonts w:hint="cs"/>
          <w:rtl/>
        </w:rPr>
        <w:t xml:space="preserve"> </w:t>
      </w:r>
      <w:proofErr w:type="spellStart"/>
      <w:r>
        <w:rPr>
          <w:rFonts w:hint="cs"/>
          <w:rtl/>
        </w:rPr>
        <w:t>داعویت</w:t>
      </w:r>
      <w:proofErr w:type="spellEnd"/>
      <w:r>
        <w:rPr>
          <w:rFonts w:hint="cs"/>
          <w:rtl/>
        </w:rPr>
        <w:t xml:space="preserve"> برای انجام عمل داشته باشد</w:t>
      </w:r>
      <w:r w:rsidRPr="00545F6B">
        <w:rPr>
          <w:rFonts w:hint="cs"/>
          <w:rtl/>
        </w:rPr>
        <w:t xml:space="preserve"> </w:t>
      </w:r>
      <w:r>
        <w:rPr>
          <w:rFonts w:hint="cs"/>
          <w:rtl/>
        </w:rPr>
        <w:t xml:space="preserve">که همین معنا نیز صحیح می باشد، من </w:t>
      </w:r>
      <w:proofErr w:type="spellStart"/>
      <w:r>
        <w:rPr>
          <w:rFonts w:hint="cs"/>
          <w:rtl/>
        </w:rPr>
        <w:t>الواضح</w:t>
      </w:r>
      <w:proofErr w:type="spellEnd"/>
      <w:r>
        <w:rPr>
          <w:rFonts w:hint="cs"/>
          <w:rtl/>
        </w:rPr>
        <w:t xml:space="preserve"> ان </w:t>
      </w:r>
      <w:proofErr w:type="spellStart"/>
      <w:r>
        <w:rPr>
          <w:rFonts w:hint="cs"/>
          <w:rtl/>
        </w:rPr>
        <w:t>الامر</w:t>
      </w:r>
      <w:proofErr w:type="spellEnd"/>
      <w:r>
        <w:rPr>
          <w:rFonts w:hint="cs"/>
          <w:rtl/>
        </w:rPr>
        <w:t xml:space="preserve"> لا </w:t>
      </w:r>
      <w:proofErr w:type="spellStart"/>
      <w:r>
        <w:rPr>
          <w:rFonts w:hint="cs"/>
          <w:rtl/>
        </w:rPr>
        <w:t>یدعو</w:t>
      </w:r>
      <w:proofErr w:type="spellEnd"/>
      <w:r>
        <w:rPr>
          <w:rFonts w:hint="cs"/>
          <w:rtl/>
        </w:rPr>
        <w:t xml:space="preserve"> الا الی ما تعلق به و وقتی فرض کردید که مجمع از دایره تعلق امر خارج است، اگر مجمع را به داعی امر متعلق به سایر افراد انجام دهید، مثل این است که روزه را به داعی امر متعلق به صلات بگیرید</w:t>
      </w:r>
      <w:r>
        <w:rPr>
          <w:rStyle w:val="a6"/>
          <w:rFonts w:cs="B Badr"/>
          <w:sz w:val="32"/>
          <w:szCs w:val="32"/>
          <w:rtl/>
        </w:rPr>
        <w:footnoteReference w:id="1"/>
      </w:r>
      <w:r>
        <w:rPr>
          <w:rFonts w:hint="cs"/>
          <w:rtl/>
        </w:rPr>
        <w:t>.</w:t>
      </w:r>
    </w:p>
    <w:p w14:paraId="2F8B7B44" w14:textId="77777777" w:rsidR="00BD0E7B" w:rsidRPr="00BD0E7B" w:rsidRDefault="00BD0E7B" w:rsidP="00BD0E7B">
      <w:pPr>
        <w:pStyle w:val="3"/>
      </w:pPr>
      <w:bookmarkStart w:id="4" w:name="_Toc213749828"/>
      <w:r w:rsidRPr="00BD0E7B">
        <w:rPr>
          <w:rtl/>
          <w:lang w:bidi="ar-SA"/>
        </w:rPr>
        <w:t>پاسخ مرحوم آخوند به اشکال دوم در بحث ضد</w:t>
      </w:r>
      <w:bookmarkEnd w:id="4"/>
    </w:p>
    <w:p w14:paraId="1504A4F1" w14:textId="009907FC" w:rsidR="00BD0E7B" w:rsidRPr="00BD0E7B" w:rsidRDefault="00BD0E7B" w:rsidP="00BD0E7B">
      <w:pPr>
        <w:rPr>
          <w:lang w:val="en-US"/>
        </w:rPr>
      </w:pPr>
      <w:r w:rsidRPr="00BD0E7B">
        <w:rPr>
          <w:rtl/>
          <w:lang w:val="en-US" w:bidi="ar-SA"/>
        </w:rPr>
        <w:t xml:space="preserve">این اشکال دوم، همان اشکالی است که خود مرحوم آخوند در کفایه در بحث ضد مطرح کرده و به آن پاسخ داده‌اند. ایشان این ادعا را که </w:t>
      </w:r>
      <w:r w:rsidR="005B53E9">
        <w:rPr>
          <w:rFonts w:hint="cs"/>
          <w:b/>
          <w:bCs/>
          <w:rtl/>
          <w:lang w:val="en-US"/>
        </w:rPr>
        <w:t>«</w:t>
      </w:r>
      <w:r w:rsidRPr="00BD0E7B">
        <w:rPr>
          <w:b/>
          <w:bCs/>
          <w:rtl/>
          <w:lang w:val="en-US" w:bidi="ar-SA"/>
        </w:rPr>
        <w:t>الأمرُ لا یَکادُ یَدعُو إلّا إلی ما هُوَ مِن أفرادِ الطبیعةِ المأمورِ بها</w:t>
      </w:r>
      <w:r w:rsidR="005B53E9">
        <w:rPr>
          <w:rFonts w:hint="cs"/>
          <w:b/>
          <w:bCs/>
          <w:rtl/>
          <w:lang w:val="en-US" w:bidi="ar-SA"/>
        </w:rPr>
        <w:t>»</w:t>
      </w:r>
      <w:r w:rsidRPr="00BD0E7B">
        <w:rPr>
          <w:lang w:val="en-US"/>
        </w:rPr>
        <w:t xml:space="preserve"> </w:t>
      </w:r>
      <w:r w:rsidRPr="00BD0E7B">
        <w:rPr>
          <w:rtl/>
          <w:lang w:val="en-US" w:bidi="ar-SA"/>
        </w:rPr>
        <w:t>مطرح کرده و سپس آن را رد می‌کنند</w:t>
      </w:r>
      <w:r w:rsidRPr="00BD0E7B">
        <w:rPr>
          <w:lang w:val="en-US"/>
        </w:rPr>
        <w:t>.</w:t>
      </w:r>
    </w:p>
    <w:p w14:paraId="6E385EBB" w14:textId="77777777" w:rsidR="00BD0E7B" w:rsidRPr="00BD0E7B" w:rsidRDefault="00BD0E7B" w:rsidP="00BD0E7B">
      <w:pPr>
        <w:rPr>
          <w:lang w:val="en-US"/>
        </w:rPr>
      </w:pPr>
      <w:r w:rsidRPr="00BD0E7B">
        <w:rPr>
          <w:rtl/>
          <w:lang w:val="en-US" w:bidi="ar-SA"/>
        </w:rPr>
        <w:t>پاسخ ایشان این است که خروج فرد مزاحم از دایره طبیعت مأمور بها، اگر از جهت «تخصیص» باشد، اشکال شما وارد است. در چنین صورتی، اتیان فرد خارج شده به داعی امری که تخصیص خورده، معنا ندارد</w:t>
      </w:r>
      <w:r w:rsidRPr="00BD0E7B">
        <w:rPr>
          <w:lang w:val="en-US"/>
        </w:rPr>
        <w:t>.</w:t>
      </w:r>
    </w:p>
    <w:p w14:paraId="03971A15" w14:textId="77777777" w:rsidR="00BD0E7B" w:rsidRPr="00BD0E7B" w:rsidRDefault="00BD0E7B" w:rsidP="00BD0E7B">
      <w:pPr>
        <w:rPr>
          <w:lang w:val="en-US"/>
        </w:rPr>
      </w:pPr>
      <w:r w:rsidRPr="00BD0E7B">
        <w:rPr>
          <w:rtl/>
          <w:lang w:val="en-US" w:bidi="ar-SA"/>
        </w:rPr>
        <w:t>اما اگر خروج فرد از دایره تعلق امر، به خاطر «قصور» در خود آن فرد نباشد، بلکه به جهت وجود «مزاحم» یا «مانع عقلی» باشد (مانند استحاله‌ی اجتماع ضدین یا اجتماع امر و نهی)، در این صورت، امر می‌تواند داعی برای اتیان آن فرد باشد. به عبارت دیگر، این فرد مزاحم که مقتضی شمول امر را دارد و فقط به خاطر مانع عقلی از دایره تعلق امر خارج شده، از نظر عقلی هیچ تفاوتی با سایر افراد در حصول امتثال ندارد</w:t>
      </w:r>
      <w:r w:rsidRPr="00BD0E7B">
        <w:rPr>
          <w:lang w:val="en-US"/>
        </w:rPr>
        <w:t>.</w:t>
      </w:r>
    </w:p>
    <w:p w14:paraId="56D04BB4" w14:textId="77777777" w:rsidR="00BD0E7B" w:rsidRDefault="00BD0E7B" w:rsidP="00BD0E7B">
      <w:pPr>
        <w:rPr>
          <w:rFonts w:hint="cs"/>
          <w:rtl/>
          <w:lang w:val="en-US"/>
        </w:rPr>
      </w:pPr>
      <w:r w:rsidRPr="00BD0E7B">
        <w:rPr>
          <w:rtl/>
          <w:lang w:val="en-US" w:bidi="ar-SA"/>
        </w:rPr>
        <w:lastRenderedPageBreak/>
        <w:t>بنابراین، ادعای اینکه «امر داعی به غیر متعلق نمی‌شود» در جایی صحیح است که خروج، به نحو تخصیص و به دلیل قصور ذاتی آن فرد باشد. اما در مواردی که خروج به دلیل وجود مانع عقلی (مزاحمت) است، این قاعده جاری نیست و اتیان آن فرد به داعی امر به طبیعت، مصداق امتثال خواهد بود</w:t>
      </w:r>
      <w:r w:rsidRPr="00BD0E7B">
        <w:rPr>
          <w:lang w:val="en-US"/>
        </w:rPr>
        <w:t>.</w:t>
      </w:r>
    </w:p>
    <w:p w14:paraId="3BACF284" w14:textId="4DB7DB12" w:rsidR="00423A59" w:rsidRDefault="00423A59" w:rsidP="00423A59">
      <w:pPr>
        <w:rPr>
          <w:rtl/>
        </w:rPr>
      </w:pPr>
      <w:r>
        <w:rPr>
          <w:rFonts w:hint="cs"/>
          <w:rtl/>
        </w:rPr>
        <w:t xml:space="preserve">به </w:t>
      </w:r>
      <w:r>
        <w:rPr>
          <w:rFonts w:hint="cs"/>
          <w:rtl/>
        </w:rPr>
        <w:t xml:space="preserve">این </w:t>
      </w:r>
      <w:r>
        <w:rPr>
          <w:rFonts w:hint="cs"/>
          <w:rtl/>
        </w:rPr>
        <w:t>پاسخ</w:t>
      </w:r>
      <w:r>
        <w:rPr>
          <w:rFonts w:hint="cs"/>
          <w:rtl/>
        </w:rPr>
        <w:t xml:space="preserve"> مرحوم آخوند اشکال می شود که همانطور که مرحوم ایروانی در بحث ضد توضیح داده </w:t>
      </w:r>
      <w:proofErr w:type="spellStart"/>
      <w:r>
        <w:rPr>
          <w:rFonts w:hint="cs"/>
          <w:rtl/>
        </w:rPr>
        <w:t>اند</w:t>
      </w:r>
      <w:proofErr w:type="spellEnd"/>
      <w:r>
        <w:rPr>
          <w:rFonts w:hint="cs"/>
          <w:rtl/>
        </w:rPr>
        <w:t xml:space="preserve">، </w:t>
      </w:r>
      <w:proofErr w:type="spellStart"/>
      <w:r>
        <w:rPr>
          <w:rFonts w:hint="cs"/>
          <w:rtl/>
        </w:rPr>
        <w:t>امتثال</w:t>
      </w:r>
      <w:proofErr w:type="spellEnd"/>
      <w:r>
        <w:rPr>
          <w:rFonts w:hint="cs"/>
          <w:rtl/>
        </w:rPr>
        <w:t xml:space="preserve"> امر یعنی </w:t>
      </w:r>
      <w:proofErr w:type="spellStart"/>
      <w:r>
        <w:rPr>
          <w:rFonts w:hint="cs"/>
          <w:rtl/>
        </w:rPr>
        <w:t>اتیان</w:t>
      </w:r>
      <w:proofErr w:type="spellEnd"/>
      <w:r>
        <w:rPr>
          <w:rFonts w:hint="cs"/>
          <w:rtl/>
        </w:rPr>
        <w:t xml:space="preserve"> به متعلق امر از جهت اینکه </w:t>
      </w:r>
      <w:proofErr w:type="spellStart"/>
      <w:r>
        <w:rPr>
          <w:rFonts w:hint="cs"/>
          <w:rtl/>
        </w:rPr>
        <w:t>مولا</w:t>
      </w:r>
      <w:proofErr w:type="spellEnd"/>
      <w:r>
        <w:rPr>
          <w:rFonts w:hint="cs"/>
          <w:rtl/>
        </w:rPr>
        <w:t xml:space="preserve"> آن را طلب کرده است. لذا عملی که متعلق امر نیست </w:t>
      </w:r>
      <w:proofErr w:type="spellStart"/>
      <w:r>
        <w:rPr>
          <w:rFonts w:hint="cs"/>
          <w:rtl/>
        </w:rPr>
        <w:t>اتیان</w:t>
      </w:r>
      <w:proofErr w:type="spellEnd"/>
      <w:r>
        <w:rPr>
          <w:rFonts w:hint="cs"/>
          <w:rtl/>
        </w:rPr>
        <w:t xml:space="preserve"> به آن حتی اگر </w:t>
      </w:r>
      <w:proofErr w:type="spellStart"/>
      <w:r>
        <w:rPr>
          <w:rFonts w:hint="cs"/>
          <w:rtl/>
        </w:rPr>
        <w:t>محصل</w:t>
      </w:r>
      <w:proofErr w:type="spellEnd"/>
      <w:r>
        <w:rPr>
          <w:rFonts w:hint="cs"/>
          <w:rtl/>
        </w:rPr>
        <w:t xml:space="preserve"> غرض </w:t>
      </w:r>
      <w:proofErr w:type="spellStart"/>
      <w:r>
        <w:rPr>
          <w:rFonts w:hint="cs"/>
          <w:rtl/>
        </w:rPr>
        <w:t>مولا</w:t>
      </w:r>
      <w:proofErr w:type="spellEnd"/>
      <w:r>
        <w:rPr>
          <w:rFonts w:hint="cs"/>
          <w:rtl/>
        </w:rPr>
        <w:t xml:space="preserve"> باشد، </w:t>
      </w:r>
      <w:proofErr w:type="spellStart"/>
      <w:r>
        <w:rPr>
          <w:rFonts w:hint="cs"/>
          <w:rtl/>
        </w:rPr>
        <w:t>امتثال</w:t>
      </w:r>
      <w:proofErr w:type="spellEnd"/>
      <w:r>
        <w:rPr>
          <w:rFonts w:hint="cs"/>
          <w:rtl/>
        </w:rPr>
        <w:t xml:space="preserve"> به حساب </w:t>
      </w:r>
      <w:proofErr w:type="spellStart"/>
      <w:r>
        <w:rPr>
          <w:rFonts w:hint="cs"/>
          <w:rtl/>
        </w:rPr>
        <w:t>نمی</w:t>
      </w:r>
      <w:proofErr w:type="spellEnd"/>
      <w:r>
        <w:rPr>
          <w:rFonts w:hint="cs"/>
          <w:rtl/>
        </w:rPr>
        <w:t xml:space="preserve"> آید. در این جهت فرقی نیست که خروج از دایره امر به خاطر تخصیص باشد یا به خاطر مانع. </w:t>
      </w:r>
    </w:p>
    <w:p w14:paraId="6CC0F9BD" w14:textId="77777777" w:rsidR="00423A59" w:rsidRPr="00BD0E7B" w:rsidRDefault="00423A59" w:rsidP="00BD0E7B">
      <w:pPr>
        <w:rPr>
          <w:lang w:val="en-US"/>
        </w:rPr>
      </w:pPr>
    </w:p>
    <w:p w14:paraId="0FF51B73" w14:textId="67D26526" w:rsidR="00BD0E7B" w:rsidRPr="00BD0E7B" w:rsidRDefault="00BD0E7B" w:rsidP="00BD0E7B">
      <w:pPr>
        <w:pStyle w:val="2"/>
      </w:pPr>
      <w:bookmarkStart w:id="5" w:name="_Toc213749829"/>
      <w:r w:rsidRPr="00BD0E7B">
        <w:rPr>
          <w:rtl/>
          <w:lang w:bidi="ar-SA"/>
        </w:rPr>
        <w:t>وجه پنجم: تمسک به اصل عملی (برائت)</w:t>
      </w:r>
      <w:bookmarkEnd w:id="5"/>
    </w:p>
    <w:p w14:paraId="492AC333" w14:textId="13D9ED4B" w:rsidR="00BD0E7B" w:rsidRPr="00BD0E7B" w:rsidRDefault="00BD0E7B" w:rsidP="00B25898">
      <w:pPr>
        <w:rPr>
          <w:lang w:val="en-US"/>
        </w:rPr>
      </w:pPr>
      <w:r w:rsidRPr="00BD0E7B">
        <w:rPr>
          <w:rtl/>
          <w:lang w:val="en-US" w:bidi="ar-SA"/>
        </w:rPr>
        <w:t xml:space="preserve">وجه پنجمی که برای تصحیح عبادت در مجمع امر و نهی در فرض پنجم مطرح شده (توسط مرحوم </w:t>
      </w:r>
      <w:r w:rsidR="00B25898">
        <w:rPr>
          <w:rFonts w:hint="cs"/>
          <w:rtl/>
          <w:lang w:val="en-US" w:bidi="ar-SA"/>
        </w:rPr>
        <w:t xml:space="preserve">آقای </w:t>
      </w:r>
      <w:r w:rsidRPr="00BD0E7B">
        <w:rPr>
          <w:rtl/>
          <w:lang w:val="en-US" w:bidi="ar-SA"/>
        </w:rPr>
        <w:t>صدر)، تمسک به «اصل عملی» برای اثبات صحت عمل است</w:t>
      </w:r>
      <w:r w:rsidRPr="00BD0E7B">
        <w:rPr>
          <w:lang w:val="en-US"/>
        </w:rPr>
        <w:t>.</w:t>
      </w:r>
    </w:p>
    <w:p w14:paraId="43F95F77" w14:textId="77777777" w:rsidR="00BD0E7B" w:rsidRDefault="00BD0E7B" w:rsidP="00BD0E7B">
      <w:pPr>
        <w:pStyle w:val="3"/>
        <w:rPr>
          <w:rtl/>
        </w:rPr>
      </w:pPr>
      <w:bookmarkStart w:id="6" w:name="_Toc213749830"/>
      <w:r w:rsidRPr="00BD0E7B">
        <w:rPr>
          <w:rtl/>
          <w:lang w:bidi="ar-SA"/>
        </w:rPr>
        <w:t>تقریب استدلال</w:t>
      </w:r>
      <w:r w:rsidRPr="00BD0E7B">
        <w:t>:</w:t>
      </w:r>
      <w:bookmarkEnd w:id="6"/>
    </w:p>
    <w:p w14:paraId="088F4CC1" w14:textId="5F5110AB" w:rsidR="00BD0E7B" w:rsidRPr="00BD0E7B" w:rsidRDefault="00BD0E7B" w:rsidP="00BD0E7B">
      <w:pPr>
        <w:rPr>
          <w:lang w:val="en-US"/>
        </w:rPr>
      </w:pPr>
      <w:r w:rsidRPr="00BD0E7B">
        <w:rPr>
          <w:rtl/>
          <w:lang w:val="en-US" w:bidi="ar-SA"/>
        </w:rPr>
        <w:t>اگر با وجوه چهارگانه اجتهادی که در کلام مرحوم آخوند ذکر شد، نتوانستیم صحت مجمع را اثبات کنیم، با تمسک به دلیل برائت، حکم می‌کنیم که مجمع صحیح است و اعاده لازم نیست</w:t>
      </w:r>
      <w:r w:rsidRPr="00BD0E7B">
        <w:rPr>
          <w:lang w:val="en-US"/>
        </w:rPr>
        <w:t>.</w:t>
      </w:r>
    </w:p>
    <w:p w14:paraId="7C8037B0" w14:textId="77777777" w:rsidR="00BD0E7B" w:rsidRPr="00BD0E7B" w:rsidRDefault="00BD0E7B" w:rsidP="00BD0E7B">
      <w:pPr>
        <w:rPr>
          <w:lang w:val="en-US"/>
        </w:rPr>
      </w:pPr>
      <w:r w:rsidRPr="00BD0E7B">
        <w:rPr>
          <w:rtl/>
          <w:lang w:val="en-US" w:bidi="ar-SA"/>
        </w:rPr>
        <w:t>توضیح آنکه</w:t>
      </w:r>
      <w:r w:rsidRPr="00BD0E7B">
        <w:rPr>
          <w:lang w:val="en-US"/>
        </w:rPr>
        <w:t>:</w:t>
      </w:r>
    </w:p>
    <w:p w14:paraId="5DE56840" w14:textId="77777777" w:rsidR="00BD0E7B" w:rsidRPr="00BD0E7B" w:rsidRDefault="00BD0E7B" w:rsidP="00BD0E7B">
      <w:pPr>
        <w:numPr>
          <w:ilvl w:val="0"/>
          <w:numId w:val="40"/>
        </w:numPr>
        <w:rPr>
          <w:lang w:val="en-US"/>
        </w:rPr>
      </w:pPr>
      <w:r w:rsidRPr="00BD0E7B">
        <w:rPr>
          <w:rtl/>
          <w:lang w:val="en-US" w:bidi="ar-SA"/>
        </w:rPr>
        <w:t>بر اساس وجه اول مرحوم آخوند، چون ملاک و مصلحت در مجمع محرز است و عمل به نحو مبغوض صادر نشده، هر سه شرط صحت عبادت (قصد قربت، قابلیت تقرب، و عدم صدور به نحو مبغوض) محقق است و حکم به صحت می‌شود</w:t>
      </w:r>
      <w:r w:rsidRPr="00BD0E7B">
        <w:rPr>
          <w:lang w:val="en-US"/>
        </w:rPr>
        <w:t>.</w:t>
      </w:r>
    </w:p>
    <w:p w14:paraId="44DD4F45" w14:textId="77777777" w:rsidR="00BD0E7B" w:rsidRPr="00BD0E7B" w:rsidRDefault="00BD0E7B" w:rsidP="00BD0E7B">
      <w:pPr>
        <w:numPr>
          <w:ilvl w:val="0"/>
          <w:numId w:val="40"/>
        </w:numPr>
        <w:rPr>
          <w:lang w:val="en-US"/>
        </w:rPr>
      </w:pPr>
      <w:r w:rsidRPr="00BD0E7B">
        <w:rPr>
          <w:rtl/>
          <w:lang w:val="en-US" w:bidi="ar-SA"/>
        </w:rPr>
        <w:t>اما این وجه پنجم می‌گوید حتی اگر در وجود «ملاک» در مجمع شک کنیم (یعنی از فرض علم به ملاک تنزل کنیم)، باز هم می‌توانیم صحت را اثبات کنیم</w:t>
      </w:r>
      <w:r w:rsidRPr="00BD0E7B">
        <w:rPr>
          <w:lang w:val="en-US"/>
        </w:rPr>
        <w:t>.</w:t>
      </w:r>
    </w:p>
    <w:p w14:paraId="7936D2BE" w14:textId="77777777" w:rsidR="00BD0E7B" w:rsidRPr="00BD0E7B" w:rsidRDefault="00BD0E7B" w:rsidP="00BD0E7B">
      <w:pPr>
        <w:numPr>
          <w:ilvl w:val="0"/>
          <w:numId w:val="40"/>
        </w:numPr>
        <w:rPr>
          <w:lang w:val="en-US"/>
        </w:rPr>
      </w:pPr>
      <w:r w:rsidRPr="00BD0E7B">
        <w:rPr>
          <w:b/>
          <w:bCs/>
          <w:rtl/>
          <w:lang w:val="en-US" w:bidi="ar-SA"/>
        </w:rPr>
        <w:t>چگونگی جریان اصل</w:t>
      </w:r>
      <w:r w:rsidRPr="00BD0E7B">
        <w:rPr>
          <w:b/>
          <w:bCs/>
          <w:lang w:val="en-US"/>
        </w:rPr>
        <w:t>:</w:t>
      </w:r>
      <w:r w:rsidRPr="00BD0E7B">
        <w:rPr>
          <w:lang w:val="en-US"/>
        </w:rPr>
        <w:t xml:space="preserve"> </w:t>
      </w:r>
      <w:r w:rsidRPr="00BD0E7B">
        <w:rPr>
          <w:rtl/>
          <w:lang w:val="en-US" w:bidi="ar-SA"/>
        </w:rPr>
        <w:t>شک در اینکه آیا صلات در دار غصبی (که از روی جهل قصوری خوانده شده) «وافی به ملاک» هست یا نه، به «شک در تکلیف» بازمی‌گردد</w:t>
      </w:r>
      <w:r w:rsidRPr="00BD0E7B">
        <w:rPr>
          <w:lang w:val="en-US"/>
        </w:rPr>
        <w:t>.</w:t>
      </w:r>
    </w:p>
    <w:p w14:paraId="473FCA92" w14:textId="77777777" w:rsidR="00BD0E7B" w:rsidRPr="00BD0E7B" w:rsidRDefault="00BD0E7B" w:rsidP="00BD0E7B">
      <w:pPr>
        <w:numPr>
          <w:ilvl w:val="1"/>
          <w:numId w:val="40"/>
        </w:numPr>
        <w:rPr>
          <w:lang w:val="en-US"/>
        </w:rPr>
      </w:pPr>
      <w:r w:rsidRPr="00BD0E7B">
        <w:rPr>
          <w:b/>
          <w:bCs/>
          <w:rtl/>
          <w:lang w:val="en-US" w:bidi="ar-SA"/>
        </w:rPr>
        <w:t>اگر وافی به ملاک باشد</w:t>
      </w:r>
      <w:r w:rsidRPr="00BD0E7B">
        <w:rPr>
          <w:b/>
          <w:bCs/>
          <w:lang w:val="en-US"/>
        </w:rPr>
        <w:t>:</w:t>
      </w:r>
      <w:r w:rsidRPr="00BD0E7B">
        <w:rPr>
          <w:lang w:val="en-US"/>
        </w:rPr>
        <w:t xml:space="preserve"> </w:t>
      </w:r>
      <w:r w:rsidRPr="00BD0E7B">
        <w:rPr>
          <w:rtl/>
          <w:lang w:val="en-US" w:bidi="ar-SA"/>
        </w:rPr>
        <w:t>اتیان آن برای سقوط تکلیف کافی است و تکلیف به صلات، مشروط به عدم اتیان این فرد خواهد بود</w:t>
      </w:r>
      <w:r w:rsidRPr="00BD0E7B">
        <w:rPr>
          <w:lang w:val="en-US"/>
        </w:rPr>
        <w:t>.</w:t>
      </w:r>
    </w:p>
    <w:p w14:paraId="754B0D24" w14:textId="77777777" w:rsidR="00BD0E7B" w:rsidRPr="00BD0E7B" w:rsidRDefault="00BD0E7B" w:rsidP="00BD0E7B">
      <w:pPr>
        <w:numPr>
          <w:ilvl w:val="1"/>
          <w:numId w:val="40"/>
        </w:numPr>
        <w:rPr>
          <w:lang w:val="en-US"/>
        </w:rPr>
      </w:pPr>
      <w:r w:rsidRPr="00BD0E7B">
        <w:rPr>
          <w:b/>
          <w:bCs/>
          <w:rtl/>
          <w:lang w:val="en-US" w:bidi="ar-SA"/>
        </w:rPr>
        <w:t>اگر وافی به ملاک نباشد</w:t>
      </w:r>
      <w:r w:rsidRPr="00BD0E7B">
        <w:rPr>
          <w:b/>
          <w:bCs/>
          <w:lang w:val="en-US"/>
        </w:rPr>
        <w:t>:</w:t>
      </w:r>
      <w:r w:rsidRPr="00BD0E7B">
        <w:rPr>
          <w:lang w:val="en-US"/>
        </w:rPr>
        <w:t xml:space="preserve"> </w:t>
      </w:r>
      <w:r w:rsidRPr="00BD0E7B">
        <w:rPr>
          <w:rtl/>
          <w:lang w:val="en-US" w:bidi="ar-SA"/>
        </w:rPr>
        <w:t>تکلیف به صلات، مطلق است و با اتیان این فرد ساقط نمی‌شود</w:t>
      </w:r>
      <w:r w:rsidRPr="00BD0E7B">
        <w:rPr>
          <w:lang w:val="en-US"/>
        </w:rPr>
        <w:t>.</w:t>
      </w:r>
    </w:p>
    <w:p w14:paraId="5B441091" w14:textId="0142B46C" w:rsidR="00BD0E7B" w:rsidRPr="00BD0E7B" w:rsidRDefault="00BD0E7B" w:rsidP="00B25898">
      <w:pPr>
        <w:numPr>
          <w:ilvl w:val="0"/>
          <w:numId w:val="40"/>
        </w:numPr>
        <w:rPr>
          <w:lang w:val="en-US"/>
        </w:rPr>
      </w:pPr>
      <w:r w:rsidRPr="00BD0E7B">
        <w:rPr>
          <w:rtl/>
          <w:lang w:val="en-US" w:bidi="ar-SA"/>
        </w:rPr>
        <w:t xml:space="preserve">بنابراین، شک ما به این بازمی‌گردد که آیا تکلیف به صلات، مقید به عدم اتیان این فرد است یا مطلق است. این شک، از موارد شک در «سعه و ضیق دایره تکلیف» است. هر جا تکلیف در یک ظرف (مثلاً </w:t>
      </w:r>
      <w:r w:rsidR="00B25898">
        <w:rPr>
          <w:rFonts w:hint="cs"/>
          <w:rtl/>
          <w:lang w:val="en-US" w:bidi="ar-SA"/>
        </w:rPr>
        <w:t xml:space="preserve">عدم </w:t>
      </w:r>
      <w:r w:rsidRPr="00BD0E7B">
        <w:rPr>
          <w:rtl/>
          <w:lang w:val="en-US" w:bidi="ar-SA"/>
        </w:rPr>
        <w:t xml:space="preserve">اتیان </w:t>
      </w:r>
      <w:r w:rsidR="00B25898">
        <w:rPr>
          <w:rFonts w:hint="cs"/>
          <w:rtl/>
          <w:lang w:val="en-US" w:bidi="ar-SA"/>
        </w:rPr>
        <w:t>اين</w:t>
      </w:r>
      <w:r w:rsidRPr="00BD0E7B">
        <w:rPr>
          <w:rtl/>
          <w:lang w:val="en-US" w:bidi="ar-SA"/>
        </w:rPr>
        <w:t xml:space="preserve"> فرد) معلوم باشد و در ظرف دیگر (اتیان این فرد) مشکوک باشد، نسبت به ظرف شک، برائت جاری می‌شود</w:t>
      </w:r>
      <w:r w:rsidRPr="00BD0E7B">
        <w:rPr>
          <w:lang w:val="en-US"/>
        </w:rPr>
        <w:t>.</w:t>
      </w:r>
    </w:p>
    <w:p w14:paraId="740DC969" w14:textId="395E2FF4" w:rsidR="00BD0E7B" w:rsidRPr="00BD0E7B" w:rsidRDefault="00BD0E7B" w:rsidP="00BD0E7B">
      <w:pPr>
        <w:numPr>
          <w:ilvl w:val="0"/>
          <w:numId w:val="40"/>
        </w:numPr>
        <w:rPr>
          <w:lang w:val="en-US"/>
        </w:rPr>
      </w:pPr>
      <w:r w:rsidRPr="00BD0E7B">
        <w:rPr>
          <w:rtl/>
          <w:lang w:val="en-US" w:bidi="ar-SA"/>
        </w:rPr>
        <w:lastRenderedPageBreak/>
        <w:t>با جریان برائت، تکلیف به نماز در خارج از دار غصبی (بعد از خواندن نماز در آن) رفع می‌شود و نتیجه‌ی آن، صحت عمل انجام شده و عدم لزوم اعاده است. هرچند با برائت، عنوان «صحت» را مستقیماً اثبات نمی‌کنیم، اما آن اثر عملی مورد انتظار از صحت (یعنی عدم وجوب اعاده) را به دست می‌آوریم</w:t>
      </w:r>
      <w:r w:rsidRPr="00BD0E7B">
        <w:rPr>
          <w:lang w:val="en-US"/>
        </w:rPr>
        <w:t>.</w:t>
      </w:r>
    </w:p>
    <w:p w14:paraId="1C376BFA" w14:textId="77777777" w:rsidR="00BD0E7B" w:rsidRPr="00BD0E7B" w:rsidRDefault="00BD0E7B" w:rsidP="00BD0E7B">
      <w:pPr>
        <w:rPr>
          <w:lang w:val="en-US"/>
        </w:rPr>
      </w:pPr>
      <w:bookmarkStart w:id="7" w:name="_GoBack"/>
      <w:bookmarkEnd w:id="7"/>
    </w:p>
    <w:sectPr w:rsidR="00BD0E7B" w:rsidRPr="00BD0E7B"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2AB11" w14:textId="77777777" w:rsidR="00482311" w:rsidRDefault="00482311" w:rsidP="00574D27">
      <w:pPr>
        <w:spacing w:after="0" w:line="240" w:lineRule="auto"/>
      </w:pPr>
      <w:r>
        <w:separator/>
      </w:r>
    </w:p>
  </w:endnote>
  <w:endnote w:type="continuationSeparator" w:id="0">
    <w:p w14:paraId="726E37AC" w14:textId="77777777" w:rsidR="00482311" w:rsidRDefault="00482311"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ac"/>
          <w:jc w:val="center"/>
          <w:rPr>
            <w:rtl/>
          </w:rPr>
        </w:pPr>
      </w:p>
      <w:p w14:paraId="4658AD3E" w14:textId="724F4868" w:rsidR="00A901C5" w:rsidRDefault="00A901C5" w:rsidP="00A901C5">
        <w:pPr>
          <w:pStyle w:val="ac"/>
          <w:jc w:val="center"/>
        </w:pPr>
        <w:r>
          <w:fldChar w:fldCharType="begin"/>
        </w:r>
        <w:r>
          <w:instrText xml:space="preserve"> PAGE   \* MERGEFORMAT </w:instrText>
        </w:r>
        <w:r>
          <w:fldChar w:fldCharType="separate"/>
        </w:r>
        <w:r w:rsidR="00B25898">
          <w:rPr>
            <w:noProof/>
            <w:rtl/>
          </w:rPr>
          <w:t>4</w:t>
        </w:r>
        <w:r>
          <w:rPr>
            <w:noProof/>
          </w:rPr>
          <w:fldChar w:fldCharType="end"/>
        </w:r>
      </w:p>
    </w:sdtContent>
  </w:sdt>
  <w:p w14:paraId="51AF2689" w14:textId="77777777" w:rsidR="00A901C5" w:rsidRDefault="00A90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07435" w14:textId="77777777" w:rsidR="00482311" w:rsidRDefault="00482311" w:rsidP="00574D27">
      <w:pPr>
        <w:spacing w:after="0" w:line="240" w:lineRule="auto"/>
      </w:pPr>
      <w:r>
        <w:separator/>
      </w:r>
    </w:p>
  </w:footnote>
  <w:footnote w:type="continuationSeparator" w:id="0">
    <w:p w14:paraId="730F7974" w14:textId="77777777" w:rsidR="00482311" w:rsidRDefault="00482311" w:rsidP="00574D27">
      <w:pPr>
        <w:spacing w:after="0" w:line="240" w:lineRule="auto"/>
      </w:pPr>
      <w:r>
        <w:continuationSeparator/>
      </w:r>
    </w:p>
  </w:footnote>
  <w:footnote w:id="1">
    <w:p w14:paraId="0498E61B" w14:textId="77777777" w:rsidR="00423A59" w:rsidRDefault="00423A59" w:rsidP="00423A59">
      <w:pPr>
        <w:pStyle w:val="a4"/>
      </w:pPr>
      <w:r>
        <w:rPr>
          <w:rStyle w:val="a6"/>
        </w:rPr>
        <w:footnoteRef/>
      </w:r>
      <w:r>
        <w:rPr>
          <w:rtl/>
        </w:rPr>
        <w:t xml:space="preserve"> </w:t>
      </w:r>
      <w:proofErr w:type="spellStart"/>
      <w:r>
        <w:rPr>
          <w:rFonts w:hint="cs"/>
          <w:rtl/>
        </w:rPr>
        <w:t>نهایة</w:t>
      </w:r>
      <w:proofErr w:type="spellEnd"/>
      <w:r>
        <w:rPr>
          <w:rFonts w:hint="cs"/>
          <w:rtl/>
        </w:rPr>
        <w:t xml:space="preserve"> </w:t>
      </w:r>
      <w:proofErr w:type="spellStart"/>
      <w:r>
        <w:rPr>
          <w:rFonts w:hint="cs"/>
          <w:rtl/>
        </w:rPr>
        <w:t>النهایة</w:t>
      </w:r>
      <w:proofErr w:type="spellEnd"/>
      <w:r>
        <w:rPr>
          <w:rFonts w:hint="cs"/>
          <w:rtl/>
        </w:rPr>
        <w:t>/1/ 194.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55481"/>
    <w:multiLevelType w:val="multilevel"/>
    <w:tmpl w:val="571E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807A5"/>
    <w:multiLevelType w:val="multilevel"/>
    <w:tmpl w:val="FCF2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A6645"/>
    <w:multiLevelType w:val="multilevel"/>
    <w:tmpl w:val="8068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F00D3"/>
    <w:multiLevelType w:val="multilevel"/>
    <w:tmpl w:val="7A7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B2B43"/>
    <w:multiLevelType w:val="multilevel"/>
    <w:tmpl w:val="B838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2D69C0"/>
    <w:multiLevelType w:val="multilevel"/>
    <w:tmpl w:val="86ACE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357867"/>
    <w:multiLevelType w:val="multilevel"/>
    <w:tmpl w:val="8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82184D"/>
    <w:multiLevelType w:val="multilevel"/>
    <w:tmpl w:val="FB98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B219C2"/>
    <w:multiLevelType w:val="multilevel"/>
    <w:tmpl w:val="D2A45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625F02"/>
    <w:multiLevelType w:val="multilevel"/>
    <w:tmpl w:val="522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D332C7"/>
    <w:multiLevelType w:val="multilevel"/>
    <w:tmpl w:val="5F96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D868AD"/>
    <w:multiLevelType w:val="hybridMultilevel"/>
    <w:tmpl w:val="F5EE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391D69"/>
    <w:multiLevelType w:val="multilevel"/>
    <w:tmpl w:val="086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1E7D8E"/>
    <w:multiLevelType w:val="multilevel"/>
    <w:tmpl w:val="2BB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B5725D"/>
    <w:multiLevelType w:val="multilevel"/>
    <w:tmpl w:val="391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4E4296"/>
    <w:multiLevelType w:val="multilevel"/>
    <w:tmpl w:val="66E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2D6E37"/>
    <w:multiLevelType w:val="multilevel"/>
    <w:tmpl w:val="0B006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1D3976"/>
    <w:multiLevelType w:val="multilevel"/>
    <w:tmpl w:val="27D45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603A1C"/>
    <w:multiLevelType w:val="multilevel"/>
    <w:tmpl w:val="EF02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7C16D2"/>
    <w:multiLevelType w:val="multilevel"/>
    <w:tmpl w:val="4D26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5"/>
  </w:num>
  <w:num w:numId="3">
    <w:abstractNumId w:val="32"/>
  </w:num>
  <w:num w:numId="4">
    <w:abstractNumId w:val="37"/>
  </w:num>
  <w:num w:numId="5">
    <w:abstractNumId w:val="3"/>
  </w:num>
  <w:num w:numId="6">
    <w:abstractNumId w:val="11"/>
  </w:num>
  <w:num w:numId="7">
    <w:abstractNumId w:val="34"/>
  </w:num>
  <w:num w:numId="8">
    <w:abstractNumId w:val="28"/>
  </w:num>
  <w:num w:numId="9">
    <w:abstractNumId w:val="5"/>
  </w:num>
  <w:num w:numId="10">
    <w:abstractNumId w:val="14"/>
  </w:num>
  <w:num w:numId="11">
    <w:abstractNumId w:val="30"/>
  </w:num>
  <w:num w:numId="12">
    <w:abstractNumId w:val="29"/>
  </w:num>
  <w:num w:numId="13">
    <w:abstractNumId w:val="18"/>
  </w:num>
  <w:num w:numId="14">
    <w:abstractNumId w:val="17"/>
  </w:num>
  <w:num w:numId="15">
    <w:abstractNumId w:val="24"/>
  </w:num>
  <w:num w:numId="16">
    <w:abstractNumId w:val="16"/>
  </w:num>
  <w:num w:numId="17">
    <w:abstractNumId w:val="22"/>
  </w:num>
  <w:num w:numId="18">
    <w:abstractNumId w:val="39"/>
  </w:num>
  <w:num w:numId="19">
    <w:abstractNumId w:val="38"/>
  </w:num>
  <w:num w:numId="20">
    <w:abstractNumId w:val="6"/>
  </w:num>
  <w:num w:numId="21">
    <w:abstractNumId w:val="21"/>
  </w:num>
  <w:num w:numId="22">
    <w:abstractNumId w:val="10"/>
  </w:num>
  <w:num w:numId="23">
    <w:abstractNumId w:val="7"/>
  </w:num>
  <w:num w:numId="24">
    <w:abstractNumId w:val="27"/>
  </w:num>
  <w:num w:numId="25">
    <w:abstractNumId w:val="26"/>
  </w:num>
  <w:num w:numId="26">
    <w:abstractNumId w:val="12"/>
  </w:num>
  <w:num w:numId="27">
    <w:abstractNumId w:val="33"/>
  </w:num>
  <w:num w:numId="28">
    <w:abstractNumId w:val="4"/>
  </w:num>
  <w:num w:numId="29">
    <w:abstractNumId w:val="1"/>
  </w:num>
  <w:num w:numId="30">
    <w:abstractNumId w:val="15"/>
  </w:num>
  <w:num w:numId="31">
    <w:abstractNumId w:val="23"/>
  </w:num>
  <w:num w:numId="32">
    <w:abstractNumId w:val="2"/>
  </w:num>
  <w:num w:numId="33">
    <w:abstractNumId w:val="31"/>
  </w:num>
  <w:num w:numId="34">
    <w:abstractNumId w:val="36"/>
  </w:num>
  <w:num w:numId="35">
    <w:abstractNumId w:val="19"/>
  </w:num>
  <w:num w:numId="36">
    <w:abstractNumId w:val="9"/>
  </w:num>
  <w:num w:numId="37">
    <w:abstractNumId w:val="25"/>
  </w:num>
  <w:num w:numId="38">
    <w:abstractNumId w:val="8"/>
  </w:num>
  <w:num w:numId="39">
    <w:abstractNumId w:val="40"/>
  </w:num>
  <w:num w:numId="40">
    <w:abstractNumId w:val="13"/>
  </w:num>
  <w:num w:numId="4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0A6D"/>
    <w:rsid w:val="00011893"/>
    <w:rsid w:val="00011CB4"/>
    <w:rsid w:val="00013CBB"/>
    <w:rsid w:val="00017538"/>
    <w:rsid w:val="00017E7D"/>
    <w:rsid w:val="00021524"/>
    <w:rsid w:val="000216E1"/>
    <w:rsid w:val="0002211E"/>
    <w:rsid w:val="00024E55"/>
    <w:rsid w:val="0002713C"/>
    <w:rsid w:val="000314C4"/>
    <w:rsid w:val="00031B53"/>
    <w:rsid w:val="00032199"/>
    <w:rsid w:val="0003504B"/>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C65A0"/>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17B7A"/>
    <w:rsid w:val="0013085D"/>
    <w:rsid w:val="00133425"/>
    <w:rsid w:val="00134BEA"/>
    <w:rsid w:val="001351D0"/>
    <w:rsid w:val="00143529"/>
    <w:rsid w:val="001441EA"/>
    <w:rsid w:val="00146BCB"/>
    <w:rsid w:val="00147502"/>
    <w:rsid w:val="001500D9"/>
    <w:rsid w:val="00150851"/>
    <w:rsid w:val="00150917"/>
    <w:rsid w:val="001520DF"/>
    <w:rsid w:val="001603B2"/>
    <w:rsid w:val="00163CA2"/>
    <w:rsid w:val="00163D80"/>
    <w:rsid w:val="00165337"/>
    <w:rsid w:val="00165B5F"/>
    <w:rsid w:val="00165F7B"/>
    <w:rsid w:val="00167533"/>
    <w:rsid w:val="00171922"/>
    <w:rsid w:val="00171A60"/>
    <w:rsid w:val="00173B61"/>
    <w:rsid w:val="001742C7"/>
    <w:rsid w:val="001747D4"/>
    <w:rsid w:val="00174ADC"/>
    <w:rsid w:val="001761FB"/>
    <w:rsid w:val="001770E2"/>
    <w:rsid w:val="00177647"/>
    <w:rsid w:val="00180547"/>
    <w:rsid w:val="00184248"/>
    <w:rsid w:val="00186255"/>
    <w:rsid w:val="00187641"/>
    <w:rsid w:val="0019131B"/>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D6EF5"/>
    <w:rsid w:val="001E0C85"/>
    <w:rsid w:val="001E3B2C"/>
    <w:rsid w:val="001E6543"/>
    <w:rsid w:val="001E7806"/>
    <w:rsid w:val="001F4D6A"/>
    <w:rsid w:val="001F513C"/>
    <w:rsid w:val="0020063C"/>
    <w:rsid w:val="00200A24"/>
    <w:rsid w:val="00201D95"/>
    <w:rsid w:val="00204A8A"/>
    <w:rsid w:val="00210D99"/>
    <w:rsid w:val="0021105A"/>
    <w:rsid w:val="00215FD8"/>
    <w:rsid w:val="00220BF7"/>
    <w:rsid w:val="00221DF9"/>
    <w:rsid w:val="00222644"/>
    <w:rsid w:val="00225A36"/>
    <w:rsid w:val="002317E4"/>
    <w:rsid w:val="0023730A"/>
    <w:rsid w:val="002420E3"/>
    <w:rsid w:val="002439C6"/>
    <w:rsid w:val="0025029D"/>
    <w:rsid w:val="0025549C"/>
    <w:rsid w:val="002559D0"/>
    <w:rsid w:val="0025623C"/>
    <w:rsid w:val="0026148E"/>
    <w:rsid w:val="0026211D"/>
    <w:rsid w:val="00263EE7"/>
    <w:rsid w:val="002706EF"/>
    <w:rsid w:val="002737D4"/>
    <w:rsid w:val="0027442A"/>
    <w:rsid w:val="00274B78"/>
    <w:rsid w:val="00275BBD"/>
    <w:rsid w:val="00282531"/>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367C"/>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438A"/>
    <w:rsid w:val="003653F9"/>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4A9"/>
    <w:rsid w:val="003A7A02"/>
    <w:rsid w:val="003B128A"/>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2274"/>
    <w:rsid w:val="00423A59"/>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67CE2"/>
    <w:rsid w:val="0047240E"/>
    <w:rsid w:val="00475765"/>
    <w:rsid w:val="0047579E"/>
    <w:rsid w:val="0048155B"/>
    <w:rsid w:val="00481AAE"/>
    <w:rsid w:val="00482311"/>
    <w:rsid w:val="00482D89"/>
    <w:rsid w:val="00483CA2"/>
    <w:rsid w:val="00485CBB"/>
    <w:rsid w:val="00487B8F"/>
    <w:rsid w:val="004900D9"/>
    <w:rsid w:val="004925D4"/>
    <w:rsid w:val="0049301C"/>
    <w:rsid w:val="004953BC"/>
    <w:rsid w:val="00497C47"/>
    <w:rsid w:val="004A0709"/>
    <w:rsid w:val="004A0E0E"/>
    <w:rsid w:val="004A134A"/>
    <w:rsid w:val="004A49B7"/>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64F9F"/>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B4930"/>
    <w:rsid w:val="005B53E9"/>
    <w:rsid w:val="005C0D2B"/>
    <w:rsid w:val="005D0A76"/>
    <w:rsid w:val="005D2FD6"/>
    <w:rsid w:val="005E3267"/>
    <w:rsid w:val="005E3F31"/>
    <w:rsid w:val="005E5214"/>
    <w:rsid w:val="005F0F14"/>
    <w:rsid w:val="005F4F74"/>
    <w:rsid w:val="005F6476"/>
    <w:rsid w:val="0060041B"/>
    <w:rsid w:val="00603E87"/>
    <w:rsid w:val="00610E71"/>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21CC"/>
    <w:rsid w:val="00685DA8"/>
    <w:rsid w:val="00692F40"/>
    <w:rsid w:val="00695BCD"/>
    <w:rsid w:val="00697B68"/>
    <w:rsid w:val="006A03CD"/>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246"/>
    <w:rsid w:val="006F290A"/>
    <w:rsid w:val="006F6734"/>
    <w:rsid w:val="006F778C"/>
    <w:rsid w:val="00703B6C"/>
    <w:rsid w:val="00705E03"/>
    <w:rsid w:val="0071393E"/>
    <w:rsid w:val="00715E2C"/>
    <w:rsid w:val="00717ABA"/>
    <w:rsid w:val="00721D25"/>
    <w:rsid w:val="007226EC"/>
    <w:rsid w:val="00722ED4"/>
    <w:rsid w:val="00724F14"/>
    <w:rsid w:val="00726A3B"/>
    <w:rsid w:val="00727971"/>
    <w:rsid w:val="007307C6"/>
    <w:rsid w:val="00730B9D"/>
    <w:rsid w:val="007333E3"/>
    <w:rsid w:val="00736860"/>
    <w:rsid w:val="00741878"/>
    <w:rsid w:val="00742786"/>
    <w:rsid w:val="007438EB"/>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539E"/>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C5E"/>
    <w:rsid w:val="00897D3F"/>
    <w:rsid w:val="008A11FE"/>
    <w:rsid w:val="008A2F80"/>
    <w:rsid w:val="008A3D7F"/>
    <w:rsid w:val="008A4771"/>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0442"/>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0AB"/>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B70D7"/>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13D9"/>
    <w:rsid w:val="00A1474D"/>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3567"/>
    <w:rsid w:val="00A759B1"/>
    <w:rsid w:val="00A77BA8"/>
    <w:rsid w:val="00A77E55"/>
    <w:rsid w:val="00A85941"/>
    <w:rsid w:val="00A86A10"/>
    <w:rsid w:val="00A86BD8"/>
    <w:rsid w:val="00A901C5"/>
    <w:rsid w:val="00A901EF"/>
    <w:rsid w:val="00A9436B"/>
    <w:rsid w:val="00AA1A31"/>
    <w:rsid w:val="00AA2B81"/>
    <w:rsid w:val="00AA2B96"/>
    <w:rsid w:val="00AA3B35"/>
    <w:rsid w:val="00AA5126"/>
    <w:rsid w:val="00AA7FF2"/>
    <w:rsid w:val="00AB2EBB"/>
    <w:rsid w:val="00AB5ED0"/>
    <w:rsid w:val="00AB6EC9"/>
    <w:rsid w:val="00AB7AA8"/>
    <w:rsid w:val="00AC0C31"/>
    <w:rsid w:val="00AC2C8D"/>
    <w:rsid w:val="00AC3A57"/>
    <w:rsid w:val="00AC4067"/>
    <w:rsid w:val="00AC5330"/>
    <w:rsid w:val="00AD0327"/>
    <w:rsid w:val="00AD18F5"/>
    <w:rsid w:val="00AD275B"/>
    <w:rsid w:val="00AD2857"/>
    <w:rsid w:val="00AD4271"/>
    <w:rsid w:val="00AD6DB5"/>
    <w:rsid w:val="00AE0001"/>
    <w:rsid w:val="00AE4634"/>
    <w:rsid w:val="00AE4BF5"/>
    <w:rsid w:val="00AE560B"/>
    <w:rsid w:val="00AE5FBC"/>
    <w:rsid w:val="00AF0B76"/>
    <w:rsid w:val="00AF1927"/>
    <w:rsid w:val="00AF28E7"/>
    <w:rsid w:val="00AF4564"/>
    <w:rsid w:val="00AF5CBF"/>
    <w:rsid w:val="00AF75C8"/>
    <w:rsid w:val="00B0039E"/>
    <w:rsid w:val="00B035EC"/>
    <w:rsid w:val="00B03902"/>
    <w:rsid w:val="00B04287"/>
    <w:rsid w:val="00B0468A"/>
    <w:rsid w:val="00B1084F"/>
    <w:rsid w:val="00B13AF8"/>
    <w:rsid w:val="00B14387"/>
    <w:rsid w:val="00B14853"/>
    <w:rsid w:val="00B1776A"/>
    <w:rsid w:val="00B236E7"/>
    <w:rsid w:val="00B243B9"/>
    <w:rsid w:val="00B25898"/>
    <w:rsid w:val="00B310BB"/>
    <w:rsid w:val="00B31361"/>
    <w:rsid w:val="00B36AAB"/>
    <w:rsid w:val="00B44248"/>
    <w:rsid w:val="00B47F30"/>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1939"/>
    <w:rsid w:val="00B82ACD"/>
    <w:rsid w:val="00B82E7B"/>
    <w:rsid w:val="00B92728"/>
    <w:rsid w:val="00B94255"/>
    <w:rsid w:val="00B97186"/>
    <w:rsid w:val="00BA4409"/>
    <w:rsid w:val="00BA5E12"/>
    <w:rsid w:val="00BA68BF"/>
    <w:rsid w:val="00BA728E"/>
    <w:rsid w:val="00BA7413"/>
    <w:rsid w:val="00BB3AFE"/>
    <w:rsid w:val="00BB3C11"/>
    <w:rsid w:val="00BB4D4A"/>
    <w:rsid w:val="00BB7288"/>
    <w:rsid w:val="00BB79B5"/>
    <w:rsid w:val="00BB7ACD"/>
    <w:rsid w:val="00BC1B88"/>
    <w:rsid w:val="00BC2464"/>
    <w:rsid w:val="00BD0E7B"/>
    <w:rsid w:val="00BD11A8"/>
    <w:rsid w:val="00BD7DBD"/>
    <w:rsid w:val="00BE0013"/>
    <w:rsid w:val="00BE0852"/>
    <w:rsid w:val="00BE2F72"/>
    <w:rsid w:val="00BE6BF6"/>
    <w:rsid w:val="00BE6F45"/>
    <w:rsid w:val="00BF14C2"/>
    <w:rsid w:val="00BF44CB"/>
    <w:rsid w:val="00C00902"/>
    <w:rsid w:val="00C07DC9"/>
    <w:rsid w:val="00C1555A"/>
    <w:rsid w:val="00C1729D"/>
    <w:rsid w:val="00C23010"/>
    <w:rsid w:val="00C243CC"/>
    <w:rsid w:val="00C25038"/>
    <w:rsid w:val="00C30B2B"/>
    <w:rsid w:val="00C32343"/>
    <w:rsid w:val="00C33644"/>
    <w:rsid w:val="00C40210"/>
    <w:rsid w:val="00C42197"/>
    <w:rsid w:val="00C4346C"/>
    <w:rsid w:val="00C434F0"/>
    <w:rsid w:val="00C446B0"/>
    <w:rsid w:val="00C46A0E"/>
    <w:rsid w:val="00C5454B"/>
    <w:rsid w:val="00C56006"/>
    <w:rsid w:val="00C60E47"/>
    <w:rsid w:val="00C639C8"/>
    <w:rsid w:val="00C65727"/>
    <w:rsid w:val="00C665DC"/>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C1989"/>
    <w:rsid w:val="00CD009F"/>
    <w:rsid w:val="00CD1763"/>
    <w:rsid w:val="00CD344C"/>
    <w:rsid w:val="00CD372D"/>
    <w:rsid w:val="00CD38A9"/>
    <w:rsid w:val="00CD48A7"/>
    <w:rsid w:val="00CD4A5F"/>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175F3"/>
    <w:rsid w:val="00D2014D"/>
    <w:rsid w:val="00D21D85"/>
    <w:rsid w:val="00D22291"/>
    <w:rsid w:val="00D3542F"/>
    <w:rsid w:val="00D414B8"/>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14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2F78"/>
    <w:rsid w:val="00EE3607"/>
    <w:rsid w:val="00EF1AEA"/>
    <w:rsid w:val="00EF40C2"/>
    <w:rsid w:val="00F03F07"/>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2AD2"/>
    <w:rsid w:val="00FB360A"/>
    <w:rsid w:val="00FB426D"/>
    <w:rsid w:val="00FB51B9"/>
    <w:rsid w:val="00FC0060"/>
    <w:rsid w:val="00FC2167"/>
    <w:rsid w:val="00FC26D6"/>
    <w:rsid w:val="00FC487B"/>
    <w:rsid w:val="00FC5BC9"/>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 w:val="00FF7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423A59"/>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423A59"/>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423A59"/>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423A59"/>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24856085">
      <w:bodyDiv w:val="1"/>
      <w:marLeft w:val="0"/>
      <w:marRight w:val="0"/>
      <w:marTop w:val="0"/>
      <w:marBottom w:val="0"/>
      <w:divBdr>
        <w:top w:val="none" w:sz="0" w:space="0" w:color="auto"/>
        <w:left w:val="none" w:sz="0" w:space="0" w:color="auto"/>
        <w:bottom w:val="none" w:sz="0" w:space="0" w:color="auto"/>
        <w:right w:val="none" w:sz="0" w:space="0" w:color="auto"/>
      </w:divBdr>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50756570">
      <w:bodyDiv w:val="1"/>
      <w:marLeft w:val="0"/>
      <w:marRight w:val="0"/>
      <w:marTop w:val="0"/>
      <w:marBottom w:val="0"/>
      <w:divBdr>
        <w:top w:val="none" w:sz="0" w:space="0" w:color="auto"/>
        <w:left w:val="none" w:sz="0" w:space="0" w:color="auto"/>
        <w:bottom w:val="none" w:sz="0" w:space="0" w:color="auto"/>
        <w:right w:val="none" w:sz="0" w:space="0" w:color="auto"/>
      </w:divBdr>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40041">
      <w:bodyDiv w:val="1"/>
      <w:marLeft w:val="0"/>
      <w:marRight w:val="0"/>
      <w:marTop w:val="0"/>
      <w:marBottom w:val="0"/>
      <w:divBdr>
        <w:top w:val="none" w:sz="0" w:space="0" w:color="auto"/>
        <w:left w:val="none" w:sz="0" w:space="0" w:color="auto"/>
        <w:bottom w:val="none" w:sz="0" w:space="0" w:color="auto"/>
        <w:right w:val="none" w:sz="0" w:space="0" w:color="auto"/>
      </w:divBdr>
    </w:div>
    <w:div w:id="261189520">
      <w:bodyDiv w:val="1"/>
      <w:marLeft w:val="0"/>
      <w:marRight w:val="0"/>
      <w:marTop w:val="0"/>
      <w:marBottom w:val="0"/>
      <w:divBdr>
        <w:top w:val="none" w:sz="0" w:space="0" w:color="auto"/>
        <w:left w:val="none" w:sz="0" w:space="0" w:color="auto"/>
        <w:bottom w:val="none" w:sz="0" w:space="0" w:color="auto"/>
        <w:right w:val="none" w:sz="0" w:space="0" w:color="auto"/>
      </w:divBdr>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5642307">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2485549">
      <w:bodyDiv w:val="1"/>
      <w:marLeft w:val="0"/>
      <w:marRight w:val="0"/>
      <w:marTop w:val="0"/>
      <w:marBottom w:val="0"/>
      <w:divBdr>
        <w:top w:val="none" w:sz="0" w:space="0" w:color="auto"/>
        <w:left w:val="none" w:sz="0" w:space="0" w:color="auto"/>
        <w:bottom w:val="none" w:sz="0" w:space="0" w:color="auto"/>
        <w:right w:val="none" w:sz="0" w:space="0" w:color="auto"/>
      </w:divBdr>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683611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57198252">
      <w:bodyDiv w:val="1"/>
      <w:marLeft w:val="0"/>
      <w:marRight w:val="0"/>
      <w:marTop w:val="0"/>
      <w:marBottom w:val="0"/>
      <w:divBdr>
        <w:top w:val="none" w:sz="0" w:space="0" w:color="auto"/>
        <w:left w:val="none" w:sz="0" w:space="0" w:color="auto"/>
        <w:bottom w:val="none" w:sz="0" w:space="0" w:color="auto"/>
        <w:right w:val="none" w:sz="0" w:space="0" w:color="auto"/>
      </w:divBdr>
    </w:div>
    <w:div w:id="365909906">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5959841">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81397">
      <w:bodyDiv w:val="1"/>
      <w:marLeft w:val="0"/>
      <w:marRight w:val="0"/>
      <w:marTop w:val="0"/>
      <w:marBottom w:val="0"/>
      <w:divBdr>
        <w:top w:val="none" w:sz="0" w:space="0" w:color="auto"/>
        <w:left w:val="none" w:sz="0" w:space="0" w:color="auto"/>
        <w:bottom w:val="none" w:sz="0" w:space="0" w:color="auto"/>
        <w:right w:val="none" w:sz="0" w:space="0" w:color="auto"/>
      </w:divBdr>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05720572">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4809739">
      <w:bodyDiv w:val="1"/>
      <w:marLeft w:val="0"/>
      <w:marRight w:val="0"/>
      <w:marTop w:val="0"/>
      <w:marBottom w:val="0"/>
      <w:divBdr>
        <w:top w:val="none" w:sz="0" w:space="0" w:color="auto"/>
        <w:left w:val="none" w:sz="0" w:space="0" w:color="auto"/>
        <w:bottom w:val="none" w:sz="0" w:space="0" w:color="auto"/>
        <w:right w:val="none" w:sz="0" w:space="0" w:color="auto"/>
      </w:divBdr>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85931467">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3556">
      <w:bodyDiv w:val="1"/>
      <w:marLeft w:val="0"/>
      <w:marRight w:val="0"/>
      <w:marTop w:val="0"/>
      <w:marBottom w:val="0"/>
      <w:divBdr>
        <w:top w:val="none" w:sz="0" w:space="0" w:color="auto"/>
        <w:left w:val="none" w:sz="0" w:space="0" w:color="auto"/>
        <w:bottom w:val="none" w:sz="0" w:space="0" w:color="auto"/>
        <w:right w:val="none" w:sz="0" w:space="0" w:color="auto"/>
      </w:divBdr>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3677625">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3359607">
      <w:bodyDiv w:val="1"/>
      <w:marLeft w:val="0"/>
      <w:marRight w:val="0"/>
      <w:marTop w:val="0"/>
      <w:marBottom w:val="0"/>
      <w:divBdr>
        <w:top w:val="none" w:sz="0" w:space="0" w:color="auto"/>
        <w:left w:val="none" w:sz="0" w:space="0" w:color="auto"/>
        <w:bottom w:val="none" w:sz="0" w:space="0" w:color="auto"/>
        <w:right w:val="none" w:sz="0" w:space="0" w:color="auto"/>
      </w:divBdr>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753838">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70022102">
      <w:bodyDiv w:val="1"/>
      <w:marLeft w:val="0"/>
      <w:marRight w:val="0"/>
      <w:marTop w:val="0"/>
      <w:marBottom w:val="0"/>
      <w:divBdr>
        <w:top w:val="none" w:sz="0" w:space="0" w:color="auto"/>
        <w:left w:val="none" w:sz="0" w:space="0" w:color="auto"/>
        <w:bottom w:val="none" w:sz="0" w:space="0" w:color="auto"/>
        <w:right w:val="none" w:sz="0" w:space="0" w:color="auto"/>
      </w:divBdr>
    </w:div>
    <w:div w:id="1191844805">
      <w:bodyDiv w:val="1"/>
      <w:marLeft w:val="0"/>
      <w:marRight w:val="0"/>
      <w:marTop w:val="0"/>
      <w:marBottom w:val="0"/>
      <w:divBdr>
        <w:top w:val="none" w:sz="0" w:space="0" w:color="auto"/>
        <w:left w:val="none" w:sz="0" w:space="0" w:color="auto"/>
        <w:bottom w:val="none" w:sz="0" w:space="0" w:color="auto"/>
        <w:right w:val="none" w:sz="0" w:space="0" w:color="auto"/>
      </w:divBdr>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05338173">
      <w:bodyDiv w:val="1"/>
      <w:marLeft w:val="0"/>
      <w:marRight w:val="0"/>
      <w:marTop w:val="0"/>
      <w:marBottom w:val="0"/>
      <w:divBdr>
        <w:top w:val="none" w:sz="0" w:space="0" w:color="auto"/>
        <w:left w:val="none" w:sz="0" w:space="0" w:color="auto"/>
        <w:bottom w:val="none" w:sz="0" w:space="0" w:color="auto"/>
        <w:right w:val="none" w:sz="0" w:space="0" w:color="auto"/>
      </w:divBdr>
    </w:div>
    <w:div w:id="121519895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8735032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63048137">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5860">
      <w:bodyDiv w:val="1"/>
      <w:marLeft w:val="0"/>
      <w:marRight w:val="0"/>
      <w:marTop w:val="0"/>
      <w:marBottom w:val="0"/>
      <w:divBdr>
        <w:top w:val="none" w:sz="0" w:space="0" w:color="auto"/>
        <w:left w:val="none" w:sz="0" w:space="0" w:color="auto"/>
        <w:bottom w:val="none" w:sz="0" w:space="0" w:color="auto"/>
        <w:right w:val="none" w:sz="0" w:space="0" w:color="auto"/>
      </w:divBdr>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40302816">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9696">
      <w:bodyDiv w:val="1"/>
      <w:marLeft w:val="0"/>
      <w:marRight w:val="0"/>
      <w:marTop w:val="0"/>
      <w:marBottom w:val="0"/>
      <w:divBdr>
        <w:top w:val="none" w:sz="0" w:space="0" w:color="auto"/>
        <w:left w:val="none" w:sz="0" w:space="0" w:color="auto"/>
        <w:bottom w:val="none" w:sz="0" w:space="0" w:color="auto"/>
        <w:right w:val="none" w:sz="0" w:space="0" w:color="auto"/>
      </w:divBdr>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50204">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8427">
      <w:bodyDiv w:val="1"/>
      <w:marLeft w:val="0"/>
      <w:marRight w:val="0"/>
      <w:marTop w:val="0"/>
      <w:marBottom w:val="0"/>
      <w:divBdr>
        <w:top w:val="none" w:sz="0" w:space="0" w:color="auto"/>
        <w:left w:val="none" w:sz="0" w:space="0" w:color="auto"/>
        <w:bottom w:val="none" w:sz="0" w:space="0" w:color="auto"/>
        <w:right w:val="none" w:sz="0" w:space="0" w:color="auto"/>
      </w:divBdr>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0422398">
      <w:bodyDiv w:val="1"/>
      <w:marLeft w:val="0"/>
      <w:marRight w:val="0"/>
      <w:marTop w:val="0"/>
      <w:marBottom w:val="0"/>
      <w:divBdr>
        <w:top w:val="none" w:sz="0" w:space="0" w:color="auto"/>
        <w:left w:val="none" w:sz="0" w:space="0" w:color="auto"/>
        <w:bottom w:val="none" w:sz="0" w:space="0" w:color="auto"/>
        <w:right w:val="none" w:sz="0" w:space="0" w:color="auto"/>
      </w:divBdr>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6C22A-7E75-452D-88F0-6CA2EAB7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1375</Words>
  <Characters>7840</Characters>
  <Application>Microsoft Office Word</Application>
  <DocSecurity>0</DocSecurity>
  <Lines>65</Lines>
  <Paragraphs>18</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6</cp:revision>
  <cp:lastPrinted>2025-11-11T07:09:00Z</cp:lastPrinted>
  <dcterms:created xsi:type="dcterms:W3CDTF">2025-11-11T06:27:00Z</dcterms:created>
  <dcterms:modified xsi:type="dcterms:W3CDTF">2025-11-25T06:26:00Z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